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061"/>
        <w:gridCol w:w="2711"/>
      </w:tblGrid>
      <w:tr w:rsidR="0036048B" w:rsidTr="0036048B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36048B" w:rsidRDefault="0036048B">
            <w:pPr>
              <w:jc w:val="center"/>
              <w:rPr>
                <w:rFonts w:ascii="Script MT Bold" w:hAnsi="Script MT Bold"/>
                <w:color w:val="993366"/>
                <w:sz w:val="20"/>
                <w:szCs w:val="20"/>
              </w:rPr>
            </w:pPr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Coill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Splendid" w:hAnsi="Splendid"/>
                    <w:color w:val="800080"/>
                    <w:sz w:val="20"/>
                    <w:szCs w:val="20"/>
                  </w:rPr>
                  <w:t>Dubh</w:t>
                </w:r>
              </w:smartTag>
              <w:proofErr w:type="spellEnd"/>
              <w:r>
                <w:rPr>
                  <w:rFonts w:ascii="Splendid" w:hAnsi="Splendid"/>
                  <w:color w:val="800080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Splendid" w:hAnsi="Splendid"/>
                    <w:color w:val="800080"/>
                    <w:sz w:val="20"/>
                    <w:szCs w:val="20"/>
                  </w:rPr>
                  <w:t>N.S.</w:t>
                </w:r>
              </w:smartTag>
            </w:smartTag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Coill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Dubh</w:t>
            </w:r>
            <w:proofErr w:type="spellEnd"/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r>
              <w:rPr>
                <w:rFonts w:ascii="Splendid" w:hAnsi="Splendid"/>
                <w:color w:val="800080"/>
                <w:sz w:val="20"/>
                <w:szCs w:val="20"/>
              </w:rPr>
              <w:t>Naas</w:t>
            </w:r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Splendid" w:hAnsi="Splendid"/>
                  <w:color w:val="800080"/>
                  <w:sz w:val="20"/>
                  <w:szCs w:val="20"/>
                </w:rPr>
                <w:t>Co.</w:t>
              </w:r>
            </w:smartTag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Kildare</w:t>
            </w:r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r>
              <w:rPr>
                <w:rFonts w:ascii="Splendid" w:hAnsi="Splendid"/>
                <w:color w:val="800080"/>
                <w:sz w:val="20"/>
                <w:szCs w:val="20"/>
              </w:rPr>
              <w:t>Phone: (045) 860023</w:t>
            </w:r>
          </w:p>
          <w:p w:rsidR="0036048B" w:rsidRDefault="0036048B">
            <w:pPr>
              <w:rPr>
                <w:sz w:val="20"/>
                <w:szCs w:val="20"/>
              </w:rPr>
            </w:pPr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       Fax:     (045) 860023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048B" w:rsidRDefault="0036048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1485900" cy="1419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36048B" w:rsidRDefault="0036048B">
            <w:pPr>
              <w:rPr>
                <w:sz w:val="20"/>
                <w:szCs w:val="20"/>
              </w:rPr>
            </w:pPr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S.N.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Coill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Dubh</w:t>
            </w:r>
            <w:proofErr w:type="spellEnd"/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Coill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Dubh</w:t>
            </w:r>
            <w:proofErr w:type="spellEnd"/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Nás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na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Ríogh</w:t>
            </w:r>
            <w:proofErr w:type="spellEnd"/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Splendid" w:hAnsi="Splendid"/>
                  <w:color w:val="800080"/>
                  <w:sz w:val="20"/>
                  <w:szCs w:val="20"/>
                </w:rPr>
                <w:t>Co.</w:t>
              </w:r>
            </w:smartTag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Chill Dara</w:t>
            </w:r>
          </w:p>
          <w:p w:rsidR="0036048B" w:rsidRDefault="0036048B">
            <w:pPr>
              <w:jc w:val="center"/>
              <w:rPr>
                <w:rFonts w:ascii="Splendid" w:hAnsi="Splendid"/>
                <w:color w:val="800080"/>
                <w:sz w:val="20"/>
                <w:szCs w:val="20"/>
              </w:rPr>
            </w:pPr>
            <w:proofErr w:type="spellStart"/>
            <w:r>
              <w:rPr>
                <w:rFonts w:ascii="Splendid" w:hAnsi="Splendid"/>
                <w:color w:val="800080"/>
                <w:sz w:val="20"/>
                <w:szCs w:val="20"/>
              </w:rPr>
              <w:t>Guthán</w:t>
            </w:r>
            <w:proofErr w:type="spellEnd"/>
            <w:r>
              <w:rPr>
                <w:rFonts w:ascii="Splendid" w:hAnsi="Splendid"/>
                <w:color w:val="800080"/>
                <w:sz w:val="20"/>
                <w:szCs w:val="20"/>
              </w:rPr>
              <w:t>: (045) 860023</w:t>
            </w:r>
          </w:p>
          <w:p w:rsidR="0036048B" w:rsidRDefault="0036048B">
            <w:pPr>
              <w:rPr>
                <w:sz w:val="20"/>
                <w:szCs w:val="20"/>
              </w:rPr>
            </w:pPr>
            <w:r>
              <w:rPr>
                <w:rFonts w:ascii="Splendid" w:hAnsi="Splendid"/>
                <w:color w:val="800080"/>
                <w:sz w:val="20"/>
                <w:szCs w:val="20"/>
              </w:rPr>
              <w:t xml:space="preserve">       Fax:       (045) 860023</w:t>
            </w:r>
          </w:p>
        </w:tc>
      </w:tr>
      <w:tr w:rsidR="00246818" w:rsidTr="0036048B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246818" w:rsidRDefault="00246818">
            <w:pPr>
              <w:jc w:val="center"/>
              <w:rPr>
                <w:rFonts w:ascii="Script MT Bold" w:hAnsi="Script MT Bold"/>
                <w:color w:val="993366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46818" w:rsidRDefault="00246818">
            <w:pPr>
              <w:jc w:val="center"/>
              <w:rPr>
                <w:noProof/>
                <w:sz w:val="20"/>
                <w:szCs w:val="20"/>
                <w:lang w:val="en-IE" w:eastAsia="en-IE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246818" w:rsidRDefault="00246818">
            <w:pPr>
              <w:rPr>
                <w:sz w:val="20"/>
                <w:szCs w:val="20"/>
              </w:rPr>
            </w:pPr>
          </w:p>
        </w:tc>
      </w:tr>
    </w:tbl>
    <w:p w:rsidR="006A541A" w:rsidRPr="0089753C" w:rsidRDefault="00796D5C" w:rsidP="006A541A">
      <w:pPr>
        <w:jc w:val="center"/>
        <w:rPr>
          <w:rFonts w:ascii="Verdana" w:hAnsi="Verdana"/>
          <w:iCs/>
        </w:rPr>
      </w:pPr>
      <w:r>
        <w:rPr>
          <w:rFonts w:ascii="Verdana" w:hAnsi="Verdana"/>
          <w:b/>
          <w:bCs/>
          <w:iCs/>
        </w:rPr>
        <w:t xml:space="preserve">SNA </w:t>
      </w:r>
      <w:r w:rsidR="006A541A" w:rsidRPr="0089753C">
        <w:rPr>
          <w:rFonts w:ascii="Verdana" w:hAnsi="Verdana"/>
          <w:b/>
          <w:bCs/>
          <w:iCs/>
        </w:rPr>
        <w:t>Job Sharing Policy</w:t>
      </w:r>
    </w:p>
    <w:p w:rsidR="006A541A" w:rsidRPr="0089753C" w:rsidRDefault="006A541A" w:rsidP="006A541A">
      <w:pPr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b/>
          <w:bCs/>
          <w:iCs/>
          <w:sz w:val="20"/>
          <w:szCs w:val="20"/>
        </w:rPr>
        <w:t> </w:t>
      </w:r>
    </w:p>
    <w:p w:rsidR="006A541A" w:rsidRDefault="006A541A" w:rsidP="006A541A">
      <w:pPr>
        <w:pStyle w:val="BodyText"/>
        <w:spacing w:before="0" w:beforeAutospacing="0" w:after="0" w:afterAutospacing="0"/>
        <w:ind w:left="36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This policy was formulated by the Board of Management on the </w:t>
      </w:r>
      <w:r w:rsidR="00C612C5">
        <w:rPr>
          <w:rFonts w:ascii="Verdana" w:hAnsi="Verdana"/>
          <w:iCs/>
          <w:sz w:val="20"/>
          <w:szCs w:val="20"/>
        </w:rPr>
        <w:t>5</w:t>
      </w:r>
      <w:r w:rsidR="00C612C5" w:rsidRPr="00C612C5">
        <w:rPr>
          <w:rFonts w:ascii="Verdana" w:hAnsi="Verdana"/>
          <w:iCs/>
          <w:sz w:val="20"/>
          <w:szCs w:val="20"/>
          <w:vertAlign w:val="superscript"/>
        </w:rPr>
        <w:t>th</w:t>
      </w:r>
      <w:r w:rsidR="00C612C5">
        <w:rPr>
          <w:rFonts w:ascii="Verdana" w:hAnsi="Verdana"/>
          <w:iCs/>
          <w:sz w:val="20"/>
          <w:szCs w:val="20"/>
        </w:rPr>
        <w:t xml:space="preserve"> April</w:t>
      </w:r>
      <w:r>
        <w:rPr>
          <w:rFonts w:ascii="Verdana" w:hAnsi="Verdana"/>
          <w:iCs/>
          <w:sz w:val="20"/>
          <w:szCs w:val="20"/>
        </w:rPr>
        <w:t xml:space="preserve"> 2016.</w:t>
      </w:r>
    </w:p>
    <w:p w:rsidR="006A541A" w:rsidRDefault="006A541A" w:rsidP="006A541A">
      <w:pPr>
        <w:pStyle w:val="BodyText"/>
        <w:spacing w:before="0" w:beforeAutospacing="0" w:after="0" w:afterAutospacing="0"/>
        <w:ind w:left="360"/>
        <w:jc w:val="both"/>
        <w:rPr>
          <w:rFonts w:ascii="Verdana" w:hAnsi="Verdana"/>
          <w:iCs/>
          <w:sz w:val="20"/>
          <w:szCs w:val="20"/>
        </w:rPr>
      </w:pPr>
    </w:p>
    <w:p w:rsidR="006A541A" w:rsidRPr="0089753C" w:rsidRDefault="006A541A" w:rsidP="006A541A">
      <w:pPr>
        <w:pStyle w:val="BodyText"/>
        <w:spacing w:before="0" w:beforeAutospacing="0" w:after="0" w:afterAutospacing="0"/>
        <w:ind w:left="360"/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The following points outline </w:t>
      </w:r>
      <w:r w:rsidR="00C612C5">
        <w:rPr>
          <w:rFonts w:ascii="Verdana" w:hAnsi="Verdana"/>
          <w:iCs/>
          <w:sz w:val="20"/>
          <w:szCs w:val="20"/>
        </w:rPr>
        <w:t>the</w:t>
      </w:r>
      <w:r w:rsidRPr="0089753C">
        <w:rPr>
          <w:rFonts w:ascii="Verdana" w:hAnsi="Verdana"/>
          <w:iCs/>
          <w:sz w:val="20"/>
          <w:szCs w:val="20"/>
        </w:rPr>
        <w:t xml:space="preserve"> factors influencing any job sharing arrangement:</w:t>
      </w:r>
    </w:p>
    <w:p w:rsidR="006A541A" w:rsidRPr="0089753C" w:rsidRDefault="006A541A" w:rsidP="006A541A">
      <w:p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 </w:t>
      </w: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787290">
        <w:rPr>
          <w:rFonts w:ascii="Verdana" w:hAnsi="Verdana"/>
          <w:sz w:val="20"/>
          <w:szCs w:val="20"/>
        </w:rPr>
        <w:t>A</w:t>
      </w:r>
      <w:r w:rsidRPr="00787290">
        <w:rPr>
          <w:rFonts w:ascii="Verdana" w:hAnsi="Verdana"/>
          <w:iCs/>
          <w:sz w:val="20"/>
          <w:szCs w:val="20"/>
        </w:rPr>
        <w:t xml:space="preserve">s a guiding principle, the welfare &amp; educational needs of the children will be the underpinning factor in all issues around Job Sharing. </w:t>
      </w:r>
      <w:r w:rsidR="00C612C5">
        <w:rPr>
          <w:rFonts w:ascii="Verdana" w:hAnsi="Verdana"/>
          <w:iCs/>
          <w:sz w:val="20"/>
          <w:szCs w:val="20"/>
        </w:rPr>
        <w:t>SNAs</w:t>
      </w:r>
      <w:r w:rsidRPr="00787290">
        <w:rPr>
          <w:rFonts w:ascii="Verdana" w:hAnsi="Verdana"/>
          <w:iCs/>
          <w:sz w:val="20"/>
          <w:szCs w:val="20"/>
        </w:rPr>
        <w:t xml:space="preserve"> applying for job sharing arrangement will be interviewed individually to assess the viability of their proposed arrangement. </w:t>
      </w:r>
      <w:r>
        <w:rPr>
          <w:rFonts w:ascii="Verdana" w:hAnsi="Verdana"/>
          <w:iCs/>
          <w:sz w:val="20"/>
          <w:szCs w:val="20"/>
        </w:rPr>
        <w:t xml:space="preserve"> </w:t>
      </w:r>
    </w:p>
    <w:p w:rsidR="006A541A" w:rsidRPr="00787290" w:rsidRDefault="006A541A" w:rsidP="006A541A">
      <w:pPr>
        <w:ind w:left="795"/>
        <w:jc w:val="both"/>
        <w:rPr>
          <w:rFonts w:ascii="Verdana" w:hAnsi="Verdana"/>
          <w:iCs/>
          <w:sz w:val="20"/>
          <w:szCs w:val="20"/>
        </w:rPr>
      </w:pPr>
    </w:p>
    <w:p w:rsidR="006A541A" w:rsidRPr="0089753C" w:rsidRDefault="006A541A" w:rsidP="006A541A">
      <w:pPr>
        <w:pStyle w:val="BodyText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Special consid</w:t>
      </w:r>
      <w:r>
        <w:rPr>
          <w:rFonts w:ascii="Verdana" w:hAnsi="Verdana"/>
          <w:iCs/>
          <w:sz w:val="20"/>
          <w:szCs w:val="20"/>
        </w:rPr>
        <w:t>eration shall be given by the Bo</w:t>
      </w:r>
      <w:r w:rsidRPr="0089753C">
        <w:rPr>
          <w:rFonts w:ascii="Verdana" w:hAnsi="Verdana"/>
          <w:iCs/>
          <w:sz w:val="20"/>
          <w:szCs w:val="20"/>
        </w:rPr>
        <w:t xml:space="preserve">M before approving job sharing for </w:t>
      </w:r>
      <w:r w:rsidR="00E05BAA">
        <w:rPr>
          <w:rFonts w:ascii="Verdana" w:hAnsi="Verdana"/>
          <w:iCs/>
          <w:sz w:val="20"/>
          <w:szCs w:val="20"/>
        </w:rPr>
        <w:t xml:space="preserve">classes </w:t>
      </w:r>
      <w:r w:rsidR="00C612C5">
        <w:rPr>
          <w:rFonts w:ascii="Verdana" w:hAnsi="Verdana"/>
          <w:iCs/>
          <w:sz w:val="20"/>
          <w:szCs w:val="20"/>
        </w:rPr>
        <w:t>based on the needs profile of</w:t>
      </w:r>
      <w:r w:rsidRPr="0089753C">
        <w:rPr>
          <w:rFonts w:ascii="Verdana" w:hAnsi="Verdana"/>
          <w:iCs/>
          <w:sz w:val="20"/>
          <w:szCs w:val="20"/>
        </w:rPr>
        <w:t xml:space="preserve"> special needs pupils.</w:t>
      </w:r>
      <w:r w:rsidRPr="0089753C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:rsidR="006A541A" w:rsidRPr="0089753C" w:rsidRDefault="006A541A" w:rsidP="006A541A">
      <w:pPr>
        <w:pStyle w:val="BodyText"/>
        <w:spacing w:before="0" w:beforeAutospacing="0" w:after="0" w:afterAutospacing="0"/>
        <w:ind w:firstLine="75"/>
        <w:jc w:val="both"/>
        <w:rPr>
          <w:rFonts w:ascii="Verdana" w:hAnsi="Verdana"/>
          <w:iCs/>
          <w:sz w:val="20"/>
          <w:szCs w:val="20"/>
        </w:rPr>
      </w:pPr>
    </w:p>
    <w:p w:rsidR="006A541A" w:rsidRPr="00787290" w:rsidRDefault="006A541A" w:rsidP="006A541A">
      <w:pPr>
        <w:pStyle w:val="BodyText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The maximum number of applications for Leave (including Career Break, Exchange, Leave of Absence, Study Leave, Job Sharing and Secondment) in any s</w:t>
      </w:r>
      <w:r>
        <w:rPr>
          <w:rFonts w:ascii="Verdana" w:hAnsi="Verdana"/>
          <w:iCs/>
          <w:sz w:val="20"/>
          <w:szCs w:val="20"/>
        </w:rPr>
        <w:t>chool year shall not exceed three</w:t>
      </w:r>
      <w:r w:rsidRPr="0089753C">
        <w:rPr>
          <w:rFonts w:ascii="Verdana" w:hAnsi="Verdana"/>
          <w:iCs/>
          <w:sz w:val="20"/>
          <w:szCs w:val="20"/>
        </w:rPr>
        <w:t xml:space="preserve">. </w:t>
      </w:r>
    </w:p>
    <w:p w:rsidR="006A541A" w:rsidRPr="0089753C" w:rsidRDefault="006A541A" w:rsidP="006A541A">
      <w:pPr>
        <w:pStyle w:val="BodyText"/>
        <w:spacing w:before="0" w:beforeAutospacing="0" w:after="0" w:afterAutospacing="0"/>
        <w:ind w:firstLine="75"/>
        <w:jc w:val="bot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C612C5">
      <w:pPr>
        <w:pStyle w:val="ListParagraph"/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C612C5">
        <w:rPr>
          <w:rFonts w:ascii="Verdana" w:hAnsi="Verdana"/>
          <w:iCs/>
          <w:sz w:val="20"/>
          <w:szCs w:val="20"/>
        </w:rPr>
        <w:t xml:space="preserve">Job sharers are required to maintain a diary in which important events </w:t>
      </w:r>
      <w:r w:rsidR="00C612C5">
        <w:rPr>
          <w:rFonts w:ascii="Verdana" w:hAnsi="Verdana"/>
          <w:iCs/>
          <w:sz w:val="20"/>
          <w:szCs w:val="20"/>
        </w:rPr>
        <w:t xml:space="preserve">and incidents </w:t>
      </w:r>
      <w:r w:rsidRPr="00C612C5">
        <w:rPr>
          <w:rFonts w:ascii="Verdana" w:hAnsi="Verdana"/>
          <w:iCs/>
          <w:sz w:val="20"/>
          <w:szCs w:val="20"/>
        </w:rPr>
        <w:t xml:space="preserve">shall be noted.  </w:t>
      </w:r>
    </w:p>
    <w:p w:rsidR="00C612C5" w:rsidRPr="00C612C5" w:rsidRDefault="00C612C5" w:rsidP="00C612C5">
      <w:pPr>
        <w:pStyle w:val="ListParagraph"/>
        <w:jc w:val="bot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As a general principle both </w:t>
      </w:r>
      <w:r w:rsidR="008A3E37">
        <w:rPr>
          <w:rFonts w:ascii="Verdana" w:hAnsi="Verdana"/>
          <w:iCs/>
          <w:sz w:val="20"/>
          <w:szCs w:val="20"/>
        </w:rPr>
        <w:t>SNAs</w:t>
      </w:r>
      <w:r w:rsidRPr="0089753C">
        <w:rPr>
          <w:rFonts w:ascii="Verdana" w:hAnsi="Verdana"/>
          <w:iCs/>
          <w:sz w:val="20"/>
          <w:szCs w:val="20"/>
        </w:rPr>
        <w:t xml:space="preserve"> will display significant flexibility in relation to absences, holidays and also ensuring the c</w:t>
      </w:r>
      <w:r w:rsidR="008A3E37">
        <w:rPr>
          <w:rFonts w:ascii="Verdana" w:hAnsi="Verdana"/>
          <w:iCs/>
          <w:sz w:val="20"/>
          <w:szCs w:val="20"/>
        </w:rPr>
        <w:t>hildren’s</w:t>
      </w:r>
      <w:r w:rsidRPr="0089753C">
        <w:rPr>
          <w:rFonts w:ascii="Verdana" w:hAnsi="Verdana"/>
          <w:iCs/>
          <w:sz w:val="20"/>
          <w:szCs w:val="20"/>
        </w:rPr>
        <w:t xml:space="preserve"> participation in school events shall continue to happen normally.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The two</w:t>
      </w:r>
      <w:r w:rsidR="008A3E37">
        <w:rPr>
          <w:rFonts w:ascii="Verdana" w:hAnsi="Verdana"/>
          <w:iCs/>
          <w:sz w:val="20"/>
          <w:szCs w:val="20"/>
        </w:rPr>
        <w:t xml:space="preserve"> SNAs</w:t>
      </w:r>
      <w:r w:rsidRPr="0089753C">
        <w:rPr>
          <w:rFonts w:ascii="Verdana" w:hAnsi="Verdana"/>
          <w:iCs/>
          <w:sz w:val="20"/>
          <w:szCs w:val="20"/>
        </w:rPr>
        <w:t xml:space="preserve"> shall work on the basis of week on - week off or a   split week</w:t>
      </w:r>
      <w:r>
        <w:rPr>
          <w:rFonts w:ascii="Verdana" w:hAnsi="Verdana"/>
          <w:iCs/>
          <w:sz w:val="20"/>
          <w:szCs w:val="20"/>
        </w:rPr>
        <w:t xml:space="preserve"> by mutual consent</w:t>
      </w:r>
      <w:r w:rsidRPr="0089753C">
        <w:rPr>
          <w:rFonts w:ascii="Verdana" w:hAnsi="Verdana"/>
          <w:iCs/>
          <w:sz w:val="20"/>
          <w:szCs w:val="20"/>
        </w:rPr>
        <w:t xml:space="preserve">. 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Both </w:t>
      </w:r>
      <w:r w:rsidR="008A3E37">
        <w:rPr>
          <w:rFonts w:ascii="Verdana" w:hAnsi="Verdana"/>
          <w:iCs/>
          <w:sz w:val="20"/>
          <w:szCs w:val="20"/>
        </w:rPr>
        <w:t>SNAS</w:t>
      </w:r>
      <w:r w:rsidRPr="0089753C">
        <w:rPr>
          <w:rFonts w:ascii="Verdana" w:hAnsi="Verdana"/>
          <w:iCs/>
          <w:sz w:val="20"/>
          <w:szCs w:val="20"/>
        </w:rPr>
        <w:t xml:space="preserve"> shall be present for any scheduled </w:t>
      </w:r>
      <w:r w:rsidR="008A3E37">
        <w:rPr>
          <w:rFonts w:ascii="Verdana" w:hAnsi="Verdana"/>
          <w:iCs/>
          <w:sz w:val="20"/>
          <w:szCs w:val="20"/>
        </w:rPr>
        <w:t>IEP</w:t>
      </w:r>
      <w:r w:rsidRPr="0089753C">
        <w:rPr>
          <w:rFonts w:ascii="Verdana" w:hAnsi="Verdana"/>
          <w:iCs/>
          <w:sz w:val="20"/>
          <w:szCs w:val="20"/>
        </w:rPr>
        <w:t xml:space="preserve"> meetings. 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Both </w:t>
      </w:r>
      <w:r w:rsidR="008A3E37">
        <w:rPr>
          <w:rFonts w:ascii="Verdana" w:hAnsi="Verdana"/>
          <w:iCs/>
          <w:sz w:val="20"/>
          <w:szCs w:val="20"/>
        </w:rPr>
        <w:t>SNA</w:t>
      </w:r>
      <w:r w:rsidRPr="0089753C">
        <w:rPr>
          <w:rFonts w:ascii="Verdana" w:hAnsi="Verdana"/>
          <w:iCs/>
          <w:sz w:val="20"/>
          <w:szCs w:val="20"/>
        </w:rPr>
        <w:t xml:space="preserve">s shall attend staff meetings.  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Both </w:t>
      </w:r>
      <w:r w:rsidR="008A3E37">
        <w:rPr>
          <w:rFonts w:ascii="Verdana" w:hAnsi="Verdana"/>
          <w:iCs/>
          <w:sz w:val="20"/>
          <w:szCs w:val="20"/>
        </w:rPr>
        <w:t>SNA</w:t>
      </w:r>
      <w:r w:rsidRPr="0089753C">
        <w:rPr>
          <w:rFonts w:ascii="Verdana" w:hAnsi="Verdana"/>
          <w:iCs/>
          <w:sz w:val="20"/>
          <w:szCs w:val="20"/>
        </w:rPr>
        <w:t>s shall attend School Development Planning.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Both </w:t>
      </w:r>
      <w:r w:rsidR="008A3E37">
        <w:rPr>
          <w:rFonts w:ascii="Verdana" w:hAnsi="Verdana"/>
          <w:iCs/>
          <w:sz w:val="20"/>
          <w:szCs w:val="20"/>
        </w:rPr>
        <w:t>SNA</w:t>
      </w:r>
      <w:r w:rsidRPr="0089753C">
        <w:rPr>
          <w:rFonts w:ascii="Verdana" w:hAnsi="Verdana"/>
          <w:iCs/>
          <w:sz w:val="20"/>
          <w:szCs w:val="20"/>
        </w:rPr>
        <w:t>s shall attend in</w:t>
      </w:r>
      <w:r>
        <w:rPr>
          <w:rFonts w:ascii="Verdana" w:hAnsi="Verdana"/>
          <w:iCs/>
          <w:sz w:val="20"/>
          <w:szCs w:val="20"/>
        </w:rPr>
        <w:t>-</w:t>
      </w:r>
      <w:r w:rsidRPr="0089753C">
        <w:rPr>
          <w:rFonts w:ascii="Verdana" w:hAnsi="Verdana"/>
          <w:iCs/>
          <w:sz w:val="20"/>
          <w:szCs w:val="20"/>
        </w:rPr>
        <w:t>service training.</w:t>
      </w:r>
    </w:p>
    <w:p w:rsidR="006A541A" w:rsidRPr="008A3E37" w:rsidRDefault="006A541A" w:rsidP="008A3E37">
      <w:pPr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The Board of Management reserves the right to terminate a job-sharing arrangement, in the event that it is not operating in the best interests of pupils and school.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Each job-sharing arrangement will be reviewed at the end of each school year.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 xml:space="preserve">All applications are subject to a qualified replacement </w:t>
      </w:r>
      <w:r w:rsidR="008A3E37">
        <w:rPr>
          <w:rFonts w:ascii="Verdana" w:hAnsi="Verdana"/>
          <w:iCs/>
          <w:sz w:val="20"/>
          <w:szCs w:val="20"/>
        </w:rPr>
        <w:t>SNA</w:t>
      </w:r>
      <w:r w:rsidRPr="0089753C">
        <w:rPr>
          <w:rFonts w:ascii="Verdana" w:hAnsi="Verdana"/>
          <w:iCs/>
          <w:sz w:val="20"/>
          <w:szCs w:val="20"/>
        </w:rPr>
        <w:t xml:space="preserve"> being secured by June 30</w:t>
      </w:r>
      <w:r w:rsidRPr="0089753C">
        <w:rPr>
          <w:rFonts w:ascii="Verdana" w:hAnsi="Verdana"/>
          <w:iCs/>
          <w:sz w:val="20"/>
          <w:szCs w:val="20"/>
          <w:vertAlign w:val="superscript"/>
        </w:rPr>
        <w:t>th</w:t>
      </w:r>
      <w:r w:rsidRPr="0089753C">
        <w:rPr>
          <w:rFonts w:ascii="Verdana" w:hAnsi="Verdana"/>
          <w:iCs/>
          <w:sz w:val="20"/>
          <w:szCs w:val="20"/>
        </w:rPr>
        <w:t xml:space="preserve"> of the year of application. 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Pr="008A3E37" w:rsidRDefault="006A541A" w:rsidP="003A4ED1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A3E37">
        <w:rPr>
          <w:rFonts w:ascii="Verdana" w:hAnsi="Verdana"/>
          <w:iCs/>
          <w:sz w:val="20"/>
          <w:szCs w:val="20"/>
        </w:rPr>
        <w:lastRenderedPageBreak/>
        <w:t>An application must be made to the Board of management, on the official application form before February 1</w:t>
      </w:r>
      <w:r w:rsidRPr="008A3E37">
        <w:rPr>
          <w:rFonts w:ascii="Verdana" w:hAnsi="Verdana"/>
          <w:iCs/>
          <w:sz w:val="20"/>
          <w:szCs w:val="20"/>
          <w:vertAlign w:val="superscript"/>
        </w:rPr>
        <w:t>st</w:t>
      </w:r>
      <w:r w:rsidRPr="008A3E37">
        <w:rPr>
          <w:rFonts w:ascii="Verdana" w:hAnsi="Verdana"/>
          <w:iCs/>
          <w:sz w:val="20"/>
          <w:szCs w:val="20"/>
        </w:rPr>
        <w:t xml:space="preserve"> of the year in which the </w:t>
      </w:r>
      <w:r w:rsidR="008A3E37" w:rsidRPr="008A3E37">
        <w:rPr>
          <w:rFonts w:ascii="Verdana" w:hAnsi="Verdana"/>
          <w:iCs/>
          <w:sz w:val="20"/>
          <w:szCs w:val="20"/>
        </w:rPr>
        <w:t>SNA</w:t>
      </w:r>
      <w:r w:rsidRPr="008A3E37">
        <w:rPr>
          <w:rFonts w:ascii="Verdana" w:hAnsi="Verdana"/>
          <w:iCs/>
          <w:sz w:val="20"/>
          <w:szCs w:val="20"/>
        </w:rPr>
        <w:t xml:space="preserve"> proposes to take the Leave. </w:t>
      </w:r>
    </w:p>
    <w:p w:rsidR="008A3E37" w:rsidRPr="008A3E37" w:rsidRDefault="008A3E37" w:rsidP="008A3E37">
      <w:pPr>
        <w:jc w:val="both"/>
        <w:rPr>
          <w:rFonts w:ascii="Verdana" w:hAnsi="Verdana"/>
          <w:iCs/>
          <w:sz w:val="20"/>
          <w:szCs w:val="20"/>
        </w:rPr>
      </w:pPr>
    </w:p>
    <w:p w:rsidR="006A541A" w:rsidRDefault="008A3E37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SNAs</w:t>
      </w:r>
      <w:r w:rsidR="006A541A" w:rsidRPr="0089753C">
        <w:rPr>
          <w:rFonts w:ascii="Verdana" w:hAnsi="Verdana"/>
          <w:iCs/>
          <w:sz w:val="20"/>
          <w:szCs w:val="20"/>
        </w:rPr>
        <w:t xml:space="preserve"> shall be notified in writing of the Board’s decision.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8A3E37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SNA</w:t>
      </w:r>
      <w:r w:rsidR="006A541A" w:rsidRPr="0089753C">
        <w:rPr>
          <w:rFonts w:ascii="Verdana" w:hAnsi="Verdana"/>
          <w:iCs/>
          <w:sz w:val="20"/>
          <w:szCs w:val="20"/>
        </w:rPr>
        <w:t>s shall apply for job sharing positions on an individual basis.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The principal will decide on the pairings and class for the following year.</w:t>
      </w:r>
    </w:p>
    <w:p w:rsidR="006A541A" w:rsidRDefault="006A541A" w:rsidP="006A541A">
      <w:pPr>
        <w:pStyle w:val="ListParagraph"/>
        <w:rPr>
          <w:rFonts w:ascii="Verdana" w:hAnsi="Verdana"/>
          <w:iCs/>
          <w:sz w:val="20"/>
          <w:szCs w:val="20"/>
        </w:rPr>
      </w:pPr>
    </w:p>
    <w:p w:rsidR="006A541A" w:rsidRDefault="006A541A" w:rsidP="006A541A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This will be agreed in advance with the principal and shall hold for the year.</w:t>
      </w:r>
    </w:p>
    <w:p w:rsidR="006A541A" w:rsidRPr="008A3E37" w:rsidRDefault="006A541A" w:rsidP="008A3E37">
      <w:pPr>
        <w:rPr>
          <w:rFonts w:ascii="Verdana" w:hAnsi="Verdana"/>
          <w:iCs/>
          <w:sz w:val="20"/>
          <w:szCs w:val="20"/>
        </w:rPr>
      </w:pPr>
    </w:p>
    <w:p w:rsidR="00057635" w:rsidRDefault="006A541A" w:rsidP="00057635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 </w:t>
      </w:r>
      <w:r w:rsidR="00057635">
        <w:rPr>
          <w:rFonts w:ascii="Verdana" w:hAnsi="Verdana"/>
          <w:iCs/>
          <w:sz w:val="20"/>
          <w:szCs w:val="20"/>
        </w:rPr>
        <w:t>In the event of over subscription to this scheme, priority shall be given to staff members who have not job shared previously.</w:t>
      </w:r>
    </w:p>
    <w:p w:rsidR="00057635" w:rsidRDefault="00057635" w:rsidP="00057635">
      <w:pPr>
        <w:pStyle w:val="ListParagraph"/>
        <w:rPr>
          <w:rFonts w:ascii="Verdana" w:hAnsi="Verdana"/>
          <w:iCs/>
          <w:sz w:val="20"/>
          <w:szCs w:val="20"/>
        </w:rPr>
      </w:pPr>
    </w:p>
    <w:p w:rsidR="00057635" w:rsidRPr="0089753C" w:rsidRDefault="00057635" w:rsidP="00057635">
      <w:pPr>
        <w:numPr>
          <w:ilvl w:val="0"/>
          <w:numId w:val="3"/>
        </w:numPr>
        <w:jc w:val="both"/>
        <w:rPr>
          <w:rFonts w:ascii="Verdana" w:hAnsi="Verdana"/>
          <w:iCs/>
          <w:sz w:val="20"/>
          <w:szCs w:val="20"/>
        </w:rPr>
      </w:pPr>
      <w:bookmarkStart w:id="0" w:name="_GoBack"/>
      <w:bookmarkEnd w:id="0"/>
      <w:r w:rsidRPr="0089753C">
        <w:rPr>
          <w:rFonts w:ascii="Verdana" w:hAnsi="Verdana"/>
          <w:iCs/>
          <w:sz w:val="20"/>
          <w:szCs w:val="20"/>
        </w:rPr>
        <w:t>This policy is subject to annual review by B</w:t>
      </w:r>
      <w:r>
        <w:rPr>
          <w:rFonts w:ascii="Verdana" w:hAnsi="Verdana"/>
          <w:iCs/>
          <w:sz w:val="20"/>
          <w:szCs w:val="20"/>
        </w:rPr>
        <w:t>oM.</w:t>
      </w:r>
    </w:p>
    <w:p w:rsidR="006A541A" w:rsidRPr="0089753C" w:rsidRDefault="006A541A" w:rsidP="006A541A">
      <w:pPr>
        <w:jc w:val="both"/>
        <w:rPr>
          <w:rFonts w:ascii="Verdana" w:hAnsi="Verdana"/>
          <w:iCs/>
          <w:sz w:val="20"/>
          <w:szCs w:val="20"/>
        </w:rPr>
      </w:pPr>
    </w:p>
    <w:p w:rsidR="006A541A" w:rsidRPr="0089753C" w:rsidRDefault="006A541A" w:rsidP="006A541A">
      <w:p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 </w:t>
      </w:r>
    </w:p>
    <w:p w:rsidR="006A541A" w:rsidRPr="0089753C" w:rsidRDefault="006A541A" w:rsidP="006A541A">
      <w:pPr>
        <w:ind w:left="360"/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For further details see the following:</w:t>
      </w:r>
    </w:p>
    <w:p w:rsidR="006A541A" w:rsidRPr="0089753C" w:rsidRDefault="006A541A" w:rsidP="006A541A">
      <w:p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iCs/>
          <w:sz w:val="20"/>
          <w:szCs w:val="20"/>
        </w:rPr>
        <w:t> </w:t>
      </w:r>
    </w:p>
    <w:p w:rsidR="006A541A" w:rsidRPr="0089753C" w:rsidRDefault="006A541A" w:rsidP="006A541A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89753C">
        <w:rPr>
          <w:rFonts w:ascii="Verdana" w:hAnsi="Verdana"/>
          <w:b/>
          <w:bCs/>
          <w:iCs/>
          <w:sz w:val="20"/>
          <w:szCs w:val="20"/>
        </w:rPr>
        <w:t xml:space="preserve">Management Board Members’ Handbook Revised </w:t>
      </w:r>
      <w:r>
        <w:rPr>
          <w:rFonts w:ascii="Verdana" w:hAnsi="Verdana"/>
          <w:b/>
          <w:bCs/>
          <w:iCs/>
          <w:sz w:val="20"/>
          <w:szCs w:val="20"/>
        </w:rPr>
        <w:t>2015</w:t>
      </w:r>
    </w:p>
    <w:p w:rsidR="006A541A" w:rsidRPr="0089753C" w:rsidRDefault="006A541A" w:rsidP="006A541A">
      <w:pPr>
        <w:ind w:firstLine="60"/>
        <w:jc w:val="both"/>
        <w:rPr>
          <w:rFonts w:ascii="Verdana" w:hAnsi="Verdana"/>
          <w:iCs/>
          <w:sz w:val="20"/>
          <w:szCs w:val="20"/>
        </w:rPr>
      </w:pPr>
    </w:p>
    <w:p w:rsidR="006A541A" w:rsidRPr="00C65276" w:rsidRDefault="006A541A" w:rsidP="006A541A">
      <w:pPr>
        <w:numPr>
          <w:ilvl w:val="0"/>
          <w:numId w:val="2"/>
        </w:numPr>
        <w:jc w:val="both"/>
        <w:rPr>
          <w:rFonts w:ascii="Verdana" w:hAnsi="Verdana"/>
          <w:iCs/>
          <w:sz w:val="20"/>
          <w:szCs w:val="20"/>
        </w:rPr>
      </w:pPr>
      <w:r w:rsidRPr="00C65276">
        <w:rPr>
          <w:rFonts w:ascii="Verdana" w:hAnsi="Verdana"/>
          <w:b/>
          <w:bCs/>
          <w:iCs/>
          <w:sz w:val="20"/>
          <w:szCs w:val="20"/>
        </w:rPr>
        <w:t xml:space="preserve">Department of </w:t>
      </w:r>
      <w:r w:rsidR="008A3E37">
        <w:rPr>
          <w:rFonts w:ascii="Verdana" w:hAnsi="Verdana"/>
          <w:b/>
          <w:bCs/>
          <w:iCs/>
          <w:sz w:val="20"/>
          <w:szCs w:val="20"/>
        </w:rPr>
        <w:t>Education and Science Circular 41/2014</w:t>
      </w:r>
    </w:p>
    <w:p w:rsidR="006A541A" w:rsidRPr="00C65276" w:rsidRDefault="006A541A" w:rsidP="006A541A">
      <w:pPr>
        <w:jc w:val="both"/>
        <w:rPr>
          <w:rFonts w:ascii="Verdana" w:hAnsi="Verdana"/>
          <w:iCs/>
          <w:sz w:val="20"/>
          <w:szCs w:val="20"/>
        </w:rPr>
      </w:pPr>
    </w:p>
    <w:p w:rsidR="00246818" w:rsidRPr="00246818" w:rsidRDefault="00246818" w:rsidP="00246818">
      <w:pPr>
        <w:rPr>
          <w:rFonts w:asciiTheme="minorHAnsi" w:hAnsiTheme="minorHAnsi"/>
        </w:rPr>
      </w:pPr>
    </w:p>
    <w:sectPr w:rsidR="00246818" w:rsidRPr="0024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plendi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D7"/>
    <w:multiLevelType w:val="hybridMultilevel"/>
    <w:tmpl w:val="A01AB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0BA"/>
    <w:multiLevelType w:val="hybridMultilevel"/>
    <w:tmpl w:val="F4E81C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3FB"/>
    <w:multiLevelType w:val="hybridMultilevel"/>
    <w:tmpl w:val="38CEA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B"/>
    <w:rsid w:val="00057635"/>
    <w:rsid w:val="00167F0F"/>
    <w:rsid w:val="001B7ED6"/>
    <w:rsid w:val="00246818"/>
    <w:rsid w:val="002B1A62"/>
    <w:rsid w:val="002B7585"/>
    <w:rsid w:val="0036048B"/>
    <w:rsid w:val="004770A7"/>
    <w:rsid w:val="006A541A"/>
    <w:rsid w:val="00796D5C"/>
    <w:rsid w:val="007F50A3"/>
    <w:rsid w:val="008A3E37"/>
    <w:rsid w:val="00974735"/>
    <w:rsid w:val="00B30AB0"/>
    <w:rsid w:val="00C612C5"/>
    <w:rsid w:val="00E05BAA"/>
    <w:rsid w:val="00E466A0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183EBF3"/>
  <w15:chartTrackingRefBased/>
  <w15:docId w15:val="{779151D7-80D3-4E6D-A6A9-4E113FA8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B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B1A62"/>
    <w:pPr>
      <w:ind w:left="720"/>
      <w:contextualSpacing/>
    </w:pPr>
  </w:style>
  <w:style w:type="paragraph" w:styleId="BodyText">
    <w:name w:val="Body Text"/>
    <w:basedOn w:val="Normal"/>
    <w:link w:val="BodyTextChar"/>
    <w:rsid w:val="006A541A"/>
    <w:pPr>
      <w:spacing w:before="100" w:beforeAutospacing="1" w:after="100" w:afterAutospacing="1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6A541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Leacy</dc:creator>
  <cp:keywords/>
  <dc:description/>
  <cp:lastModifiedBy>Joe Leacy</cp:lastModifiedBy>
  <cp:revision>5</cp:revision>
  <cp:lastPrinted>2019-02-04T12:33:00Z</cp:lastPrinted>
  <dcterms:created xsi:type="dcterms:W3CDTF">2019-01-30T13:28:00Z</dcterms:created>
  <dcterms:modified xsi:type="dcterms:W3CDTF">2023-01-13T09:05:00Z</dcterms:modified>
</cp:coreProperties>
</file>