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3152"/>
        <w:gridCol w:w="2792"/>
      </w:tblGrid>
      <w:tr w:rsidR="0036048B" w:rsidTr="00A2015C">
        <w:trPr>
          <w:trHeight w:val="1827"/>
        </w:trPr>
        <w:tc>
          <w:tcPr>
            <w:tcW w:w="2832" w:type="dxa"/>
            <w:tcBorders>
              <w:top w:val="nil"/>
              <w:left w:val="nil"/>
              <w:bottom w:val="nil"/>
              <w:right w:val="nil"/>
            </w:tcBorders>
          </w:tcPr>
          <w:p w:rsidR="0036048B" w:rsidRDefault="0036048B">
            <w:pPr>
              <w:jc w:val="center"/>
              <w:rPr>
                <w:rFonts w:ascii="Script MT Bold" w:hAnsi="Script MT Bold"/>
                <w:color w:val="993366"/>
                <w:sz w:val="20"/>
                <w:szCs w:val="20"/>
              </w:rPr>
            </w:pPr>
          </w:p>
          <w:p w:rsidR="0036048B" w:rsidRDefault="0036048B">
            <w:pPr>
              <w:jc w:val="center"/>
              <w:rPr>
                <w:rFonts w:ascii="Splendid" w:hAnsi="Splendid"/>
                <w:color w:val="800080"/>
                <w:sz w:val="20"/>
                <w:szCs w:val="20"/>
              </w:rPr>
            </w:pPr>
            <w:r>
              <w:rPr>
                <w:rFonts w:ascii="Splendid" w:hAnsi="Splendid"/>
                <w:color w:val="800080"/>
                <w:sz w:val="20"/>
                <w:szCs w:val="20"/>
              </w:rPr>
              <w:t xml:space="preserve">Coill </w:t>
            </w:r>
            <w:smartTag w:uri="urn:schemas-microsoft-com:office:smarttags" w:element="place">
              <w:smartTag w:uri="urn:schemas-microsoft-com:office:smarttags" w:element="City">
                <w:r>
                  <w:rPr>
                    <w:rFonts w:ascii="Splendid" w:hAnsi="Splendid"/>
                    <w:color w:val="800080"/>
                    <w:sz w:val="20"/>
                    <w:szCs w:val="20"/>
                  </w:rPr>
                  <w:t>Dubh</w:t>
                </w:r>
              </w:smartTag>
              <w:r>
                <w:rPr>
                  <w:rFonts w:ascii="Splendid" w:hAnsi="Splendid"/>
                  <w:color w:val="800080"/>
                  <w:sz w:val="20"/>
                  <w:szCs w:val="20"/>
                </w:rPr>
                <w:t xml:space="preserve"> </w:t>
              </w:r>
              <w:smartTag w:uri="urn:schemas-microsoft-com:office:smarttags" w:element="State">
                <w:r>
                  <w:rPr>
                    <w:rFonts w:ascii="Splendid" w:hAnsi="Splendid"/>
                    <w:color w:val="800080"/>
                    <w:sz w:val="20"/>
                    <w:szCs w:val="20"/>
                  </w:rPr>
                  <w:t>N.S.</w:t>
                </w:r>
              </w:smartTag>
            </w:smartTag>
          </w:p>
          <w:p w:rsidR="0036048B" w:rsidRDefault="0036048B">
            <w:pPr>
              <w:jc w:val="center"/>
              <w:rPr>
                <w:rFonts w:ascii="Splendid" w:hAnsi="Splendid"/>
                <w:color w:val="800080"/>
                <w:sz w:val="20"/>
                <w:szCs w:val="20"/>
              </w:rPr>
            </w:pPr>
            <w:r>
              <w:rPr>
                <w:rFonts w:ascii="Splendid" w:hAnsi="Splendid"/>
                <w:color w:val="800080"/>
                <w:sz w:val="20"/>
                <w:szCs w:val="20"/>
              </w:rPr>
              <w:t>Coill Dubh</w:t>
            </w:r>
          </w:p>
          <w:p w:rsidR="0036048B" w:rsidRDefault="0036048B">
            <w:pPr>
              <w:jc w:val="center"/>
              <w:rPr>
                <w:rFonts w:ascii="Splendid" w:hAnsi="Splendid"/>
                <w:color w:val="800080"/>
                <w:sz w:val="20"/>
                <w:szCs w:val="20"/>
              </w:rPr>
            </w:pPr>
            <w:r>
              <w:rPr>
                <w:rFonts w:ascii="Splendid" w:hAnsi="Splendid"/>
                <w:color w:val="800080"/>
                <w:sz w:val="20"/>
                <w:szCs w:val="20"/>
              </w:rPr>
              <w:t>Naas</w:t>
            </w:r>
          </w:p>
          <w:p w:rsidR="0036048B" w:rsidRDefault="0036048B">
            <w:pPr>
              <w:jc w:val="center"/>
              <w:rPr>
                <w:rFonts w:ascii="Splendid" w:hAnsi="Splendid"/>
                <w:color w:val="800080"/>
                <w:sz w:val="20"/>
                <w:szCs w:val="20"/>
              </w:rPr>
            </w:pPr>
            <w:smartTag w:uri="urn:schemas-microsoft-com:office:smarttags" w:element="place">
              <w:r>
                <w:rPr>
                  <w:rFonts w:ascii="Splendid" w:hAnsi="Splendid"/>
                  <w:color w:val="800080"/>
                  <w:sz w:val="20"/>
                  <w:szCs w:val="20"/>
                </w:rPr>
                <w:t>Co.</w:t>
              </w:r>
            </w:smartTag>
            <w:r>
              <w:rPr>
                <w:rFonts w:ascii="Splendid" w:hAnsi="Splendid"/>
                <w:color w:val="800080"/>
                <w:sz w:val="20"/>
                <w:szCs w:val="20"/>
              </w:rPr>
              <w:t xml:space="preserve"> Kildare</w:t>
            </w:r>
          </w:p>
          <w:p w:rsidR="0036048B" w:rsidRDefault="0036048B">
            <w:pPr>
              <w:jc w:val="center"/>
              <w:rPr>
                <w:rFonts w:ascii="Splendid" w:hAnsi="Splendid"/>
                <w:color w:val="800080"/>
                <w:sz w:val="20"/>
                <w:szCs w:val="20"/>
              </w:rPr>
            </w:pPr>
            <w:r>
              <w:rPr>
                <w:rFonts w:ascii="Splendid" w:hAnsi="Splendid"/>
                <w:color w:val="800080"/>
                <w:sz w:val="20"/>
                <w:szCs w:val="20"/>
              </w:rPr>
              <w:t>Phone: (045) 860023</w:t>
            </w:r>
          </w:p>
          <w:p w:rsidR="0036048B" w:rsidRDefault="0036048B">
            <w:pPr>
              <w:rPr>
                <w:sz w:val="20"/>
                <w:szCs w:val="20"/>
              </w:rPr>
            </w:pPr>
            <w:r>
              <w:rPr>
                <w:rFonts w:ascii="Splendid" w:hAnsi="Splendid"/>
                <w:color w:val="800080"/>
                <w:sz w:val="20"/>
                <w:szCs w:val="20"/>
              </w:rPr>
              <w:t xml:space="preserve">        Fax:     (045) 860023</w:t>
            </w:r>
          </w:p>
        </w:tc>
        <w:tc>
          <w:tcPr>
            <w:tcW w:w="3152" w:type="dxa"/>
            <w:tcBorders>
              <w:top w:val="nil"/>
              <w:left w:val="nil"/>
              <w:bottom w:val="nil"/>
              <w:right w:val="nil"/>
            </w:tcBorders>
            <w:hideMark/>
          </w:tcPr>
          <w:p w:rsidR="0036048B" w:rsidRDefault="0036048B">
            <w:pPr>
              <w:jc w:val="center"/>
              <w:rPr>
                <w:sz w:val="20"/>
                <w:szCs w:val="20"/>
              </w:rPr>
            </w:pPr>
            <w:r>
              <w:rPr>
                <w:noProof/>
                <w:sz w:val="20"/>
                <w:szCs w:val="20"/>
                <w:lang w:val="en-IE" w:eastAsia="en-IE"/>
              </w:rPr>
              <w:drawing>
                <wp:inline distT="0" distB="0" distL="0" distR="0">
                  <wp:extent cx="148590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419225"/>
                          </a:xfrm>
                          <a:prstGeom prst="rect">
                            <a:avLst/>
                          </a:prstGeom>
                          <a:noFill/>
                          <a:ln>
                            <a:noFill/>
                          </a:ln>
                        </pic:spPr>
                      </pic:pic>
                    </a:graphicData>
                  </a:graphic>
                </wp:inline>
              </w:drawing>
            </w:r>
          </w:p>
        </w:tc>
        <w:tc>
          <w:tcPr>
            <w:tcW w:w="2792" w:type="dxa"/>
            <w:tcBorders>
              <w:top w:val="nil"/>
              <w:left w:val="nil"/>
              <w:bottom w:val="nil"/>
              <w:right w:val="nil"/>
            </w:tcBorders>
          </w:tcPr>
          <w:p w:rsidR="0036048B" w:rsidRDefault="0036048B">
            <w:pPr>
              <w:rPr>
                <w:sz w:val="20"/>
                <w:szCs w:val="20"/>
              </w:rPr>
            </w:pPr>
          </w:p>
          <w:p w:rsidR="0036048B" w:rsidRDefault="0036048B">
            <w:pPr>
              <w:jc w:val="center"/>
              <w:rPr>
                <w:rFonts w:ascii="Splendid" w:hAnsi="Splendid"/>
                <w:color w:val="800080"/>
                <w:sz w:val="20"/>
                <w:szCs w:val="20"/>
              </w:rPr>
            </w:pPr>
            <w:r>
              <w:rPr>
                <w:rFonts w:ascii="Splendid" w:hAnsi="Splendid"/>
                <w:color w:val="800080"/>
                <w:sz w:val="20"/>
                <w:szCs w:val="20"/>
              </w:rPr>
              <w:t>S.N. Coill Dubh</w:t>
            </w:r>
          </w:p>
          <w:p w:rsidR="0036048B" w:rsidRDefault="0036048B">
            <w:pPr>
              <w:jc w:val="center"/>
              <w:rPr>
                <w:rFonts w:ascii="Splendid" w:hAnsi="Splendid"/>
                <w:color w:val="800080"/>
                <w:sz w:val="20"/>
                <w:szCs w:val="20"/>
              </w:rPr>
            </w:pPr>
            <w:r>
              <w:rPr>
                <w:rFonts w:ascii="Splendid" w:hAnsi="Splendid"/>
                <w:color w:val="800080"/>
                <w:sz w:val="20"/>
                <w:szCs w:val="20"/>
              </w:rPr>
              <w:t>Coill Dubh</w:t>
            </w:r>
          </w:p>
          <w:p w:rsidR="0036048B" w:rsidRDefault="0036048B">
            <w:pPr>
              <w:jc w:val="center"/>
              <w:rPr>
                <w:rFonts w:ascii="Splendid" w:hAnsi="Splendid"/>
                <w:color w:val="800080"/>
                <w:sz w:val="20"/>
                <w:szCs w:val="20"/>
              </w:rPr>
            </w:pPr>
            <w:proofErr w:type="spellStart"/>
            <w:r>
              <w:rPr>
                <w:rFonts w:ascii="Splendid" w:hAnsi="Splendid"/>
                <w:color w:val="800080"/>
                <w:sz w:val="20"/>
                <w:szCs w:val="20"/>
              </w:rPr>
              <w:t>Nás</w:t>
            </w:r>
            <w:proofErr w:type="spellEnd"/>
            <w:r>
              <w:rPr>
                <w:rFonts w:ascii="Splendid" w:hAnsi="Splendid"/>
                <w:color w:val="800080"/>
                <w:sz w:val="20"/>
                <w:szCs w:val="20"/>
              </w:rPr>
              <w:t xml:space="preserve"> </w:t>
            </w:r>
            <w:proofErr w:type="spellStart"/>
            <w:r>
              <w:rPr>
                <w:rFonts w:ascii="Splendid" w:hAnsi="Splendid"/>
                <w:color w:val="800080"/>
                <w:sz w:val="20"/>
                <w:szCs w:val="20"/>
              </w:rPr>
              <w:t>na</w:t>
            </w:r>
            <w:proofErr w:type="spellEnd"/>
            <w:r>
              <w:rPr>
                <w:rFonts w:ascii="Splendid" w:hAnsi="Splendid"/>
                <w:color w:val="800080"/>
                <w:sz w:val="20"/>
                <w:szCs w:val="20"/>
              </w:rPr>
              <w:t xml:space="preserve"> </w:t>
            </w:r>
            <w:proofErr w:type="spellStart"/>
            <w:r>
              <w:rPr>
                <w:rFonts w:ascii="Splendid" w:hAnsi="Splendid"/>
                <w:color w:val="800080"/>
                <w:sz w:val="20"/>
                <w:szCs w:val="20"/>
              </w:rPr>
              <w:t>Ríogh</w:t>
            </w:r>
            <w:proofErr w:type="spellEnd"/>
          </w:p>
          <w:p w:rsidR="0036048B" w:rsidRDefault="0036048B">
            <w:pPr>
              <w:jc w:val="center"/>
              <w:rPr>
                <w:rFonts w:ascii="Splendid" w:hAnsi="Splendid"/>
                <w:color w:val="800080"/>
                <w:sz w:val="20"/>
                <w:szCs w:val="20"/>
              </w:rPr>
            </w:pPr>
            <w:smartTag w:uri="urn:schemas-microsoft-com:office:smarttags" w:element="place">
              <w:r>
                <w:rPr>
                  <w:rFonts w:ascii="Splendid" w:hAnsi="Splendid"/>
                  <w:color w:val="800080"/>
                  <w:sz w:val="20"/>
                  <w:szCs w:val="20"/>
                </w:rPr>
                <w:t>Co.</w:t>
              </w:r>
            </w:smartTag>
            <w:r>
              <w:rPr>
                <w:rFonts w:ascii="Splendid" w:hAnsi="Splendid"/>
                <w:color w:val="800080"/>
                <w:sz w:val="20"/>
                <w:szCs w:val="20"/>
              </w:rPr>
              <w:t xml:space="preserve"> Chill Dara</w:t>
            </w:r>
          </w:p>
          <w:p w:rsidR="0036048B" w:rsidRDefault="0036048B">
            <w:pPr>
              <w:jc w:val="center"/>
              <w:rPr>
                <w:rFonts w:ascii="Splendid" w:hAnsi="Splendid"/>
                <w:color w:val="800080"/>
                <w:sz w:val="20"/>
                <w:szCs w:val="20"/>
              </w:rPr>
            </w:pPr>
            <w:proofErr w:type="spellStart"/>
            <w:r>
              <w:rPr>
                <w:rFonts w:ascii="Splendid" w:hAnsi="Splendid"/>
                <w:color w:val="800080"/>
                <w:sz w:val="20"/>
                <w:szCs w:val="20"/>
              </w:rPr>
              <w:t>Guthán</w:t>
            </w:r>
            <w:proofErr w:type="spellEnd"/>
            <w:r>
              <w:rPr>
                <w:rFonts w:ascii="Splendid" w:hAnsi="Splendid"/>
                <w:color w:val="800080"/>
                <w:sz w:val="20"/>
                <w:szCs w:val="20"/>
              </w:rPr>
              <w:t>: (045) 860023</w:t>
            </w:r>
          </w:p>
          <w:p w:rsidR="0036048B" w:rsidRDefault="0036048B">
            <w:pPr>
              <w:rPr>
                <w:sz w:val="20"/>
                <w:szCs w:val="20"/>
              </w:rPr>
            </w:pPr>
            <w:r>
              <w:rPr>
                <w:rFonts w:ascii="Splendid" w:hAnsi="Splendid"/>
                <w:color w:val="800080"/>
                <w:sz w:val="20"/>
                <w:szCs w:val="20"/>
              </w:rPr>
              <w:t xml:space="preserve">       Fax:       (045) 860023</w:t>
            </w:r>
          </w:p>
        </w:tc>
      </w:tr>
      <w:tr w:rsidR="00246818" w:rsidTr="00A2015C">
        <w:trPr>
          <w:trHeight w:val="194"/>
        </w:trPr>
        <w:tc>
          <w:tcPr>
            <w:tcW w:w="2832" w:type="dxa"/>
            <w:tcBorders>
              <w:top w:val="nil"/>
              <w:left w:val="nil"/>
              <w:bottom w:val="nil"/>
              <w:right w:val="nil"/>
            </w:tcBorders>
          </w:tcPr>
          <w:p w:rsidR="00246818" w:rsidRDefault="00246818">
            <w:pPr>
              <w:jc w:val="center"/>
              <w:rPr>
                <w:rFonts w:ascii="Script MT Bold" w:hAnsi="Script MT Bold"/>
                <w:color w:val="993366"/>
                <w:sz w:val="20"/>
                <w:szCs w:val="20"/>
              </w:rPr>
            </w:pPr>
          </w:p>
        </w:tc>
        <w:tc>
          <w:tcPr>
            <w:tcW w:w="3152" w:type="dxa"/>
            <w:tcBorders>
              <w:top w:val="nil"/>
              <w:left w:val="nil"/>
              <w:bottom w:val="nil"/>
              <w:right w:val="nil"/>
            </w:tcBorders>
          </w:tcPr>
          <w:p w:rsidR="00246818" w:rsidRDefault="00246818">
            <w:pPr>
              <w:jc w:val="center"/>
              <w:rPr>
                <w:noProof/>
                <w:sz w:val="20"/>
                <w:szCs w:val="20"/>
                <w:lang w:val="en-IE" w:eastAsia="en-IE"/>
              </w:rPr>
            </w:pPr>
          </w:p>
        </w:tc>
        <w:tc>
          <w:tcPr>
            <w:tcW w:w="2792" w:type="dxa"/>
            <w:tcBorders>
              <w:top w:val="nil"/>
              <w:left w:val="nil"/>
              <w:bottom w:val="nil"/>
              <w:right w:val="nil"/>
            </w:tcBorders>
          </w:tcPr>
          <w:p w:rsidR="00246818" w:rsidRDefault="00246818">
            <w:pPr>
              <w:rPr>
                <w:sz w:val="20"/>
                <w:szCs w:val="20"/>
              </w:rPr>
            </w:pPr>
          </w:p>
        </w:tc>
      </w:tr>
    </w:tbl>
    <w:p w:rsidR="006A541A" w:rsidRPr="0089753C" w:rsidRDefault="006A541A" w:rsidP="006A541A">
      <w:pPr>
        <w:jc w:val="center"/>
        <w:rPr>
          <w:rFonts w:ascii="Verdana" w:hAnsi="Verdana"/>
          <w:iCs/>
        </w:rPr>
      </w:pPr>
      <w:r w:rsidRPr="0089753C">
        <w:rPr>
          <w:rFonts w:ascii="Verdana" w:hAnsi="Verdana"/>
          <w:b/>
          <w:bCs/>
          <w:iCs/>
        </w:rPr>
        <w:t>Job Sharing Policy</w:t>
      </w:r>
    </w:p>
    <w:p w:rsidR="006A541A" w:rsidRPr="0089753C" w:rsidRDefault="006A541A" w:rsidP="006A541A">
      <w:pPr>
        <w:rPr>
          <w:rFonts w:ascii="Verdana" w:hAnsi="Verdana"/>
          <w:iCs/>
          <w:sz w:val="20"/>
          <w:szCs w:val="20"/>
        </w:rPr>
      </w:pPr>
      <w:r w:rsidRPr="0089753C">
        <w:rPr>
          <w:rFonts w:ascii="Verdana" w:hAnsi="Verdana"/>
          <w:b/>
          <w:bCs/>
          <w:iCs/>
          <w:sz w:val="20"/>
          <w:szCs w:val="20"/>
        </w:rPr>
        <w:t> </w:t>
      </w:r>
    </w:p>
    <w:p w:rsidR="006A541A" w:rsidRDefault="006A541A" w:rsidP="006A541A">
      <w:pPr>
        <w:pStyle w:val="BodyText"/>
        <w:spacing w:before="0" w:beforeAutospacing="0" w:after="0" w:afterAutospacing="0"/>
        <w:ind w:left="360"/>
        <w:jc w:val="both"/>
        <w:rPr>
          <w:rFonts w:ascii="Verdana" w:hAnsi="Verdana"/>
          <w:iCs/>
          <w:sz w:val="20"/>
          <w:szCs w:val="20"/>
        </w:rPr>
      </w:pPr>
      <w:r>
        <w:rPr>
          <w:rFonts w:ascii="Verdana" w:hAnsi="Verdana"/>
          <w:iCs/>
          <w:sz w:val="20"/>
          <w:szCs w:val="20"/>
        </w:rPr>
        <w:t>This policy was formulated by the Board of Management on the 23</w:t>
      </w:r>
      <w:r w:rsidRPr="00C65276">
        <w:rPr>
          <w:rFonts w:ascii="Verdana" w:hAnsi="Verdana"/>
          <w:iCs/>
          <w:sz w:val="20"/>
          <w:szCs w:val="20"/>
          <w:vertAlign w:val="superscript"/>
        </w:rPr>
        <w:t>rd</w:t>
      </w:r>
      <w:r>
        <w:rPr>
          <w:rFonts w:ascii="Verdana" w:hAnsi="Verdana"/>
          <w:iCs/>
          <w:sz w:val="20"/>
          <w:szCs w:val="20"/>
        </w:rPr>
        <w:t xml:space="preserve"> February 2016.</w:t>
      </w:r>
    </w:p>
    <w:p w:rsidR="006A541A" w:rsidRDefault="006A541A" w:rsidP="006A541A">
      <w:pPr>
        <w:pStyle w:val="BodyText"/>
        <w:spacing w:before="0" w:beforeAutospacing="0" w:after="0" w:afterAutospacing="0"/>
        <w:ind w:left="360"/>
        <w:jc w:val="both"/>
        <w:rPr>
          <w:rFonts w:ascii="Verdana" w:hAnsi="Verdana"/>
          <w:iCs/>
          <w:sz w:val="20"/>
          <w:szCs w:val="20"/>
        </w:rPr>
      </w:pPr>
    </w:p>
    <w:p w:rsidR="006A541A" w:rsidRPr="0089753C" w:rsidRDefault="006A541A" w:rsidP="006A541A">
      <w:pPr>
        <w:pStyle w:val="BodyText"/>
        <w:spacing w:before="0" w:beforeAutospacing="0" w:after="0" w:afterAutospacing="0"/>
        <w:ind w:left="360"/>
        <w:jc w:val="both"/>
        <w:rPr>
          <w:rFonts w:ascii="Verdana" w:hAnsi="Verdana"/>
          <w:iCs/>
          <w:sz w:val="20"/>
          <w:szCs w:val="20"/>
        </w:rPr>
      </w:pPr>
      <w:r w:rsidRPr="0089753C">
        <w:rPr>
          <w:rFonts w:ascii="Verdana" w:hAnsi="Verdana"/>
          <w:iCs/>
          <w:sz w:val="20"/>
          <w:szCs w:val="20"/>
        </w:rPr>
        <w:t xml:space="preserve">A member of the permanent teaching staff of </w:t>
      </w:r>
      <w:r>
        <w:rPr>
          <w:rFonts w:ascii="Verdana" w:hAnsi="Verdana"/>
          <w:iCs/>
          <w:sz w:val="20"/>
          <w:szCs w:val="20"/>
        </w:rPr>
        <w:t>an Other</w:t>
      </w:r>
      <w:r w:rsidRPr="0089753C">
        <w:rPr>
          <w:rFonts w:ascii="Verdana" w:hAnsi="Verdana"/>
          <w:iCs/>
          <w:sz w:val="20"/>
          <w:szCs w:val="20"/>
        </w:rPr>
        <w:t xml:space="preserve"> School may apply to work on a job sharing basis under the conditions set out in </w:t>
      </w:r>
      <w:r w:rsidRPr="0089753C">
        <w:rPr>
          <w:rFonts w:ascii="Verdana" w:hAnsi="Verdana"/>
          <w:b/>
          <w:bCs/>
          <w:iCs/>
          <w:sz w:val="20"/>
          <w:szCs w:val="20"/>
        </w:rPr>
        <w:t xml:space="preserve">Circular </w:t>
      </w:r>
      <w:r>
        <w:rPr>
          <w:rFonts w:ascii="Verdana" w:hAnsi="Verdana"/>
          <w:b/>
          <w:bCs/>
          <w:iCs/>
          <w:sz w:val="20"/>
          <w:szCs w:val="20"/>
        </w:rPr>
        <w:t>75/20015</w:t>
      </w:r>
      <w:r w:rsidRPr="0089753C">
        <w:rPr>
          <w:rFonts w:ascii="Verdana" w:hAnsi="Verdana"/>
          <w:iCs/>
          <w:sz w:val="20"/>
          <w:szCs w:val="20"/>
        </w:rPr>
        <w:t>.  The following points outline additional factors influencing any job sharing arrangement:</w:t>
      </w:r>
    </w:p>
    <w:p w:rsidR="006A541A" w:rsidRPr="0089753C" w:rsidRDefault="006A541A" w:rsidP="006A541A">
      <w:pPr>
        <w:jc w:val="both"/>
        <w:rPr>
          <w:rFonts w:ascii="Verdana" w:hAnsi="Verdana"/>
          <w:iCs/>
          <w:sz w:val="20"/>
          <w:szCs w:val="20"/>
        </w:rPr>
      </w:pPr>
      <w:r w:rsidRPr="0089753C">
        <w:rPr>
          <w:rFonts w:ascii="Verdana" w:hAnsi="Verdana"/>
          <w:iCs/>
          <w:sz w:val="20"/>
          <w:szCs w:val="20"/>
        </w:rPr>
        <w:t> </w:t>
      </w:r>
    </w:p>
    <w:p w:rsidR="006A541A" w:rsidRDefault="006A541A" w:rsidP="006A541A">
      <w:pPr>
        <w:numPr>
          <w:ilvl w:val="0"/>
          <w:numId w:val="3"/>
        </w:numPr>
        <w:jc w:val="both"/>
        <w:rPr>
          <w:rFonts w:ascii="Verdana" w:hAnsi="Verdana"/>
          <w:iCs/>
          <w:sz w:val="20"/>
          <w:szCs w:val="20"/>
        </w:rPr>
      </w:pPr>
      <w:r w:rsidRPr="00787290">
        <w:rPr>
          <w:rFonts w:ascii="Verdana" w:hAnsi="Verdana"/>
          <w:sz w:val="20"/>
          <w:szCs w:val="20"/>
        </w:rPr>
        <w:t>A</w:t>
      </w:r>
      <w:r w:rsidRPr="00787290">
        <w:rPr>
          <w:rFonts w:ascii="Verdana" w:hAnsi="Verdana"/>
          <w:iCs/>
          <w:sz w:val="20"/>
          <w:szCs w:val="20"/>
        </w:rPr>
        <w:t xml:space="preserve">s a guiding principle, the welfare &amp; educational needs of the children will be the underpinning factor in all issues around Job Sharing. </w:t>
      </w:r>
      <w:r w:rsidR="00B27532">
        <w:rPr>
          <w:rFonts w:ascii="Verdana" w:hAnsi="Verdana"/>
          <w:iCs/>
          <w:sz w:val="20"/>
          <w:szCs w:val="20"/>
        </w:rPr>
        <w:t>Staff</w:t>
      </w:r>
      <w:r w:rsidRPr="00787290">
        <w:rPr>
          <w:rFonts w:ascii="Verdana" w:hAnsi="Verdana"/>
          <w:iCs/>
          <w:sz w:val="20"/>
          <w:szCs w:val="20"/>
        </w:rPr>
        <w:t xml:space="preserve"> applying for job sharing arrangement will be interviewed individually to assess the viability of their proposed arrangement. </w:t>
      </w:r>
      <w:r>
        <w:rPr>
          <w:rFonts w:ascii="Verdana" w:hAnsi="Verdana"/>
          <w:iCs/>
          <w:sz w:val="20"/>
          <w:szCs w:val="20"/>
        </w:rPr>
        <w:t xml:space="preserve"> </w:t>
      </w:r>
    </w:p>
    <w:p w:rsidR="006A541A" w:rsidRPr="00787290" w:rsidRDefault="006A541A" w:rsidP="006A541A">
      <w:pPr>
        <w:ind w:left="795"/>
        <w:jc w:val="both"/>
        <w:rPr>
          <w:rFonts w:ascii="Verdana" w:hAnsi="Verdana"/>
          <w:iCs/>
          <w:sz w:val="20"/>
          <w:szCs w:val="20"/>
        </w:rPr>
      </w:pPr>
    </w:p>
    <w:p w:rsidR="006A541A" w:rsidRPr="0089753C" w:rsidRDefault="006A541A" w:rsidP="006A541A">
      <w:pPr>
        <w:pStyle w:val="BodyText"/>
        <w:numPr>
          <w:ilvl w:val="0"/>
          <w:numId w:val="3"/>
        </w:numPr>
        <w:spacing w:before="0" w:beforeAutospacing="0" w:after="0" w:afterAutospacing="0"/>
        <w:jc w:val="both"/>
        <w:rPr>
          <w:rFonts w:ascii="Verdana" w:hAnsi="Verdana"/>
          <w:iCs/>
          <w:sz w:val="20"/>
          <w:szCs w:val="20"/>
        </w:rPr>
      </w:pPr>
      <w:r w:rsidRPr="0089753C">
        <w:rPr>
          <w:rFonts w:ascii="Verdana" w:hAnsi="Verdana"/>
          <w:iCs/>
          <w:sz w:val="20"/>
          <w:szCs w:val="20"/>
        </w:rPr>
        <w:t>Special consid</w:t>
      </w:r>
      <w:r>
        <w:rPr>
          <w:rFonts w:ascii="Verdana" w:hAnsi="Verdana"/>
          <w:iCs/>
          <w:sz w:val="20"/>
          <w:szCs w:val="20"/>
        </w:rPr>
        <w:t>eration shall be given by the Bo</w:t>
      </w:r>
      <w:r w:rsidRPr="0089753C">
        <w:rPr>
          <w:rFonts w:ascii="Verdana" w:hAnsi="Verdana"/>
          <w:iCs/>
          <w:sz w:val="20"/>
          <w:szCs w:val="20"/>
        </w:rPr>
        <w:t xml:space="preserve">M before approving job sharing for </w:t>
      </w:r>
      <w:r w:rsidR="00586473">
        <w:rPr>
          <w:rFonts w:ascii="Verdana" w:hAnsi="Verdana"/>
          <w:iCs/>
          <w:sz w:val="20"/>
          <w:szCs w:val="20"/>
        </w:rPr>
        <w:t>classes with</w:t>
      </w:r>
      <w:r w:rsidRPr="0089753C">
        <w:rPr>
          <w:rFonts w:ascii="Verdana" w:hAnsi="Verdana"/>
          <w:iCs/>
          <w:sz w:val="20"/>
          <w:szCs w:val="20"/>
        </w:rPr>
        <w:t xml:space="preserve"> special needs pupils.</w:t>
      </w:r>
      <w:r w:rsidRPr="0089753C">
        <w:rPr>
          <w:rFonts w:ascii="Verdana" w:hAnsi="Verdana"/>
          <w:b/>
          <w:bCs/>
          <w:iCs/>
          <w:sz w:val="20"/>
          <w:szCs w:val="20"/>
        </w:rPr>
        <w:t xml:space="preserve"> </w:t>
      </w:r>
    </w:p>
    <w:p w:rsidR="006A541A" w:rsidRPr="0089753C" w:rsidRDefault="006A541A" w:rsidP="006A541A">
      <w:pPr>
        <w:pStyle w:val="BodyText"/>
        <w:spacing w:before="0" w:beforeAutospacing="0" w:after="0" w:afterAutospacing="0"/>
        <w:ind w:firstLine="75"/>
        <w:jc w:val="both"/>
        <w:rPr>
          <w:rFonts w:ascii="Verdana" w:hAnsi="Verdana"/>
          <w:iCs/>
          <w:sz w:val="20"/>
          <w:szCs w:val="20"/>
        </w:rPr>
      </w:pPr>
    </w:p>
    <w:p w:rsidR="006A541A" w:rsidRPr="00787290" w:rsidRDefault="006A541A" w:rsidP="006A541A">
      <w:pPr>
        <w:pStyle w:val="BodyText"/>
        <w:numPr>
          <w:ilvl w:val="0"/>
          <w:numId w:val="3"/>
        </w:numPr>
        <w:spacing w:before="0" w:beforeAutospacing="0" w:after="0" w:afterAutospacing="0"/>
        <w:jc w:val="both"/>
        <w:rPr>
          <w:rFonts w:ascii="Verdana" w:hAnsi="Verdana"/>
          <w:iCs/>
          <w:sz w:val="20"/>
          <w:szCs w:val="20"/>
        </w:rPr>
      </w:pPr>
      <w:r w:rsidRPr="0089753C">
        <w:rPr>
          <w:rFonts w:ascii="Verdana" w:hAnsi="Verdana"/>
          <w:iCs/>
          <w:sz w:val="20"/>
          <w:szCs w:val="20"/>
        </w:rPr>
        <w:t>The maximum number of applications for Job Sharing in any s</w:t>
      </w:r>
      <w:r>
        <w:rPr>
          <w:rFonts w:ascii="Verdana" w:hAnsi="Verdana"/>
          <w:iCs/>
          <w:sz w:val="20"/>
          <w:szCs w:val="20"/>
        </w:rPr>
        <w:t>c</w:t>
      </w:r>
      <w:r w:rsidR="000C61EE">
        <w:rPr>
          <w:rFonts w:ascii="Verdana" w:hAnsi="Verdana"/>
          <w:iCs/>
          <w:sz w:val="20"/>
          <w:szCs w:val="20"/>
        </w:rPr>
        <w:t>hool year shall not exceed two (one teaching post and one SNA Post)</w:t>
      </w:r>
      <w:r w:rsidRPr="0089753C">
        <w:rPr>
          <w:rFonts w:ascii="Verdana" w:hAnsi="Verdana"/>
          <w:iCs/>
          <w:sz w:val="20"/>
          <w:szCs w:val="20"/>
        </w:rPr>
        <w:t xml:space="preserve">. </w:t>
      </w:r>
    </w:p>
    <w:p w:rsidR="006A541A" w:rsidRDefault="006A541A" w:rsidP="006A541A">
      <w:pPr>
        <w:pStyle w:val="ListParagraph"/>
        <w:rPr>
          <w:rFonts w:ascii="Verdana" w:hAnsi="Verdana"/>
          <w:iCs/>
          <w:sz w:val="20"/>
          <w:szCs w:val="20"/>
        </w:rPr>
      </w:pPr>
    </w:p>
    <w:p w:rsidR="006A541A" w:rsidRPr="0089753C" w:rsidRDefault="006A541A" w:rsidP="006A541A">
      <w:pPr>
        <w:pStyle w:val="BodyText"/>
        <w:numPr>
          <w:ilvl w:val="0"/>
          <w:numId w:val="3"/>
        </w:numPr>
        <w:spacing w:before="0" w:beforeAutospacing="0" w:after="0" w:afterAutospacing="0"/>
        <w:jc w:val="both"/>
        <w:rPr>
          <w:rFonts w:ascii="Verdana" w:hAnsi="Verdana"/>
          <w:iCs/>
          <w:sz w:val="20"/>
          <w:szCs w:val="20"/>
        </w:rPr>
      </w:pPr>
      <w:r w:rsidRPr="0089753C">
        <w:rPr>
          <w:rFonts w:ascii="Verdana" w:hAnsi="Verdana"/>
          <w:iCs/>
          <w:sz w:val="20"/>
          <w:szCs w:val="20"/>
        </w:rPr>
        <w:t xml:space="preserve">Both </w:t>
      </w:r>
      <w:r w:rsidR="00B27532">
        <w:rPr>
          <w:rFonts w:ascii="Verdana" w:hAnsi="Verdana"/>
          <w:iCs/>
          <w:sz w:val="20"/>
          <w:szCs w:val="20"/>
        </w:rPr>
        <w:t>staff members may</w:t>
      </w:r>
      <w:r w:rsidRPr="0089753C">
        <w:rPr>
          <w:rFonts w:ascii="Verdana" w:hAnsi="Verdana"/>
          <w:iCs/>
          <w:sz w:val="20"/>
          <w:szCs w:val="20"/>
        </w:rPr>
        <w:t xml:space="preserve"> present, along with the principal teacher, an information session for parents explaining the strategy employed to manage, teach &amp; assess the class through a Job Sharing scheme.</w:t>
      </w:r>
      <w:r>
        <w:rPr>
          <w:rFonts w:ascii="Verdana" w:hAnsi="Verdana"/>
          <w:b/>
          <w:bCs/>
          <w:iCs/>
          <w:sz w:val="20"/>
          <w:szCs w:val="20"/>
        </w:rPr>
        <w:t xml:space="preserve"> </w:t>
      </w:r>
    </w:p>
    <w:p w:rsidR="006A541A" w:rsidRPr="0089753C" w:rsidRDefault="006A541A" w:rsidP="006A541A">
      <w:pPr>
        <w:pStyle w:val="BodyText"/>
        <w:spacing w:before="0" w:beforeAutospacing="0" w:after="0" w:afterAutospacing="0"/>
        <w:ind w:firstLine="75"/>
        <w:jc w:val="both"/>
        <w:rPr>
          <w:rFonts w:ascii="Verdana" w:hAnsi="Verdana"/>
          <w:iCs/>
          <w:sz w:val="20"/>
          <w:szCs w:val="20"/>
        </w:rPr>
      </w:pPr>
    </w:p>
    <w:p w:rsidR="006A541A" w:rsidRPr="0089753C" w:rsidRDefault="006A541A" w:rsidP="006A541A">
      <w:pPr>
        <w:pStyle w:val="BodyText"/>
        <w:numPr>
          <w:ilvl w:val="0"/>
          <w:numId w:val="3"/>
        </w:numPr>
        <w:spacing w:before="0" w:beforeAutospacing="0" w:after="0" w:afterAutospacing="0"/>
        <w:jc w:val="both"/>
        <w:rPr>
          <w:rFonts w:ascii="Verdana" w:hAnsi="Verdana"/>
          <w:iCs/>
          <w:sz w:val="20"/>
          <w:szCs w:val="20"/>
        </w:rPr>
      </w:pPr>
      <w:r w:rsidRPr="0089753C">
        <w:rPr>
          <w:rFonts w:ascii="Verdana" w:hAnsi="Verdana"/>
          <w:iCs/>
          <w:sz w:val="20"/>
          <w:szCs w:val="20"/>
        </w:rPr>
        <w:t>In consultation with the Principal both teachers shall prepare together a full year’s work-plan as well as a weekly/fortnightly scheme for the class. At the end of each week/fortnight both teachers shall complete a detailed report (</w:t>
      </w:r>
      <w:proofErr w:type="spellStart"/>
      <w:r w:rsidRPr="0089753C">
        <w:rPr>
          <w:rFonts w:ascii="Verdana" w:hAnsi="Verdana"/>
          <w:iCs/>
          <w:sz w:val="20"/>
          <w:szCs w:val="20"/>
        </w:rPr>
        <w:t>Cúntas</w:t>
      </w:r>
      <w:proofErr w:type="spellEnd"/>
      <w:r w:rsidRPr="0089753C">
        <w:rPr>
          <w:rFonts w:ascii="Verdana" w:hAnsi="Verdana"/>
          <w:iCs/>
          <w:sz w:val="20"/>
          <w:szCs w:val="20"/>
        </w:rPr>
        <w:t xml:space="preserve"> </w:t>
      </w:r>
      <w:proofErr w:type="spellStart"/>
      <w:r w:rsidRPr="0089753C">
        <w:rPr>
          <w:rFonts w:ascii="Verdana" w:hAnsi="Verdana"/>
          <w:iCs/>
          <w:sz w:val="20"/>
          <w:szCs w:val="20"/>
        </w:rPr>
        <w:t>Seachtaine</w:t>
      </w:r>
      <w:proofErr w:type="spellEnd"/>
      <w:r w:rsidRPr="0089753C">
        <w:rPr>
          <w:rFonts w:ascii="Verdana" w:hAnsi="Verdana"/>
          <w:iCs/>
          <w:sz w:val="20"/>
          <w:szCs w:val="20"/>
        </w:rPr>
        <w:t>/</w:t>
      </w:r>
      <w:proofErr w:type="spellStart"/>
      <w:r w:rsidRPr="0089753C">
        <w:rPr>
          <w:rFonts w:ascii="Verdana" w:hAnsi="Verdana"/>
          <w:iCs/>
          <w:sz w:val="20"/>
          <w:szCs w:val="20"/>
        </w:rPr>
        <w:t>Coicíse</w:t>
      </w:r>
      <w:proofErr w:type="spellEnd"/>
      <w:r w:rsidRPr="0089753C">
        <w:rPr>
          <w:rFonts w:ascii="Verdana" w:hAnsi="Verdana"/>
          <w:iCs/>
          <w:sz w:val="20"/>
          <w:szCs w:val="20"/>
        </w:rPr>
        <w:t>) of the curriculum taught and the progress made by the children during the week/fortnight under both teachers.</w:t>
      </w:r>
    </w:p>
    <w:p w:rsidR="006A541A" w:rsidRPr="0089753C" w:rsidRDefault="006A541A" w:rsidP="006A541A">
      <w:pPr>
        <w:pStyle w:val="BodyText"/>
        <w:spacing w:before="0" w:beforeAutospacing="0" w:after="0" w:afterAutospacing="0"/>
        <w:ind w:firstLine="75"/>
        <w:jc w:val="bot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Copies of the long-term plan, short-term plans and fortnightly reports shall be presented to the Principal Teacher at the appropriate times.</w:t>
      </w:r>
    </w:p>
    <w:p w:rsidR="006A541A" w:rsidRDefault="006A541A" w:rsidP="006A541A">
      <w:pPr>
        <w:pStyle w:val="ListParagraph"/>
        <w:rPr>
          <w:rFonts w:ascii="Verdana" w:hAnsi="Verdana"/>
          <w:iCs/>
          <w:sz w:val="20"/>
          <w:szCs w:val="20"/>
        </w:rPr>
      </w:pPr>
    </w:p>
    <w:p w:rsidR="006A541A" w:rsidRPr="0089753C" w:rsidRDefault="006A541A" w:rsidP="006A541A">
      <w:pPr>
        <w:numPr>
          <w:ilvl w:val="0"/>
          <w:numId w:val="3"/>
        </w:numPr>
        <w:jc w:val="both"/>
        <w:rPr>
          <w:rFonts w:ascii="Verdana" w:hAnsi="Verdana"/>
          <w:iCs/>
          <w:sz w:val="20"/>
          <w:szCs w:val="20"/>
        </w:rPr>
      </w:pPr>
      <w:r w:rsidRPr="0089753C">
        <w:rPr>
          <w:rFonts w:ascii="Verdana" w:hAnsi="Verdana"/>
          <w:iCs/>
          <w:sz w:val="20"/>
          <w:szCs w:val="20"/>
        </w:rPr>
        <w:t xml:space="preserve">Together both teachers shall prepare an agreed weekly and daily timetable. </w:t>
      </w:r>
    </w:p>
    <w:p w:rsidR="006A541A" w:rsidRPr="0089753C" w:rsidRDefault="006A541A" w:rsidP="006A541A">
      <w:pPr>
        <w:ind w:firstLine="75"/>
        <w:jc w:val="both"/>
        <w:rPr>
          <w:rFonts w:ascii="Verdana" w:hAnsi="Verdana"/>
          <w:iCs/>
          <w:sz w:val="20"/>
          <w:szCs w:val="20"/>
        </w:rPr>
      </w:pPr>
    </w:p>
    <w:p w:rsidR="006A541A" w:rsidRPr="0089753C" w:rsidRDefault="006A541A" w:rsidP="006A541A">
      <w:pPr>
        <w:numPr>
          <w:ilvl w:val="0"/>
          <w:numId w:val="3"/>
        </w:numPr>
        <w:jc w:val="both"/>
        <w:rPr>
          <w:rFonts w:ascii="Verdana" w:hAnsi="Verdana"/>
          <w:iCs/>
          <w:sz w:val="20"/>
          <w:szCs w:val="20"/>
        </w:rPr>
      </w:pPr>
      <w:r w:rsidRPr="0089753C">
        <w:rPr>
          <w:rFonts w:ascii="Verdana" w:hAnsi="Verdana"/>
          <w:iCs/>
          <w:sz w:val="20"/>
          <w:szCs w:val="20"/>
        </w:rPr>
        <w:t>Job sharers are required to maintain a diary in which records of progress and important events shall be noted.  Both teachers shall meet for sufficient period of time after school at the end of each “teaching shift” to discuss and prepare the necessary handover.</w:t>
      </w:r>
    </w:p>
    <w:p w:rsidR="006A541A" w:rsidRPr="0089753C" w:rsidRDefault="006A541A" w:rsidP="006A541A">
      <w:pPr>
        <w:ind w:firstLine="75"/>
        <w:jc w:val="bot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 xml:space="preserve">As a general principle both </w:t>
      </w:r>
      <w:r w:rsidR="00B27532">
        <w:rPr>
          <w:rFonts w:ascii="Verdana" w:hAnsi="Verdana"/>
          <w:iCs/>
          <w:sz w:val="20"/>
          <w:szCs w:val="20"/>
        </w:rPr>
        <w:t>staff members</w:t>
      </w:r>
      <w:r w:rsidRPr="0089753C">
        <w:rPr>
          <w:rFonts w:ascii="Verdana" w:hAnsi="Verdana"/>
          <w:iCs/>
          <w:sz w:val="20"/>
          <w:szCs w:val="20"/>
        </w:rPr>
        <w:t xml:space="preserve"> will display significant flexibility in relation to absences, holidays and also ensuring the class’s participation in school events shall continue to happen normally.</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 xml:space="preserve">The two </w:t>
      </w:r>
      <w:r w:rsidR="00B27532">
        <w:rPr>
          <w:rFonts w:ascii="Verdana" w:hAnsi="Verdana"/>
          <w:iCs/>
          <w:sz w:val="20"/>
          <w:szCs w:val="20"/>
        </w:rPr>
        <w:t>staff members</w:t>
      </w:r>
      <w:r w:rsidRPr="0089753C">
        <w:rPr>
          <w:rFonts w:ascii="Verdana" w:hAnsi="Verdana"/>
          <w:iCs/>
          <w:sz w:val="20"/>
          <w:szCs w:val="20"/>
        </w:rPr>
        <w:t xml:space="preserve"> shall work on the basis of week on - week off or a   split week</w:t>
      </w:r>
      <w:r>
        <w:rPr>
          <w:rFonts w:ascii="Verdana" w:hAnsi="Verdana"/>
          <w:iCs/>
          <w:sz w:val="20"/>
          <w:szCs w:val="20"/>
        </w:rPr>
        <w:t xml:space="preserve"> by mutual consent</w:t>
      </w:r>
      <w:r w:rsidRPr="0089753C">
        <w:rPr>
          <w:rFonts w:ascii="Verdana" w:hAnsi="Verdana"/>
          <w:iCs/>
          <w:sz w:val="20"/>
          <w:szCs w:val="20"/>
        </w:rPr>
        <w:t xml:space="preserve">. </w:t>
      </w:r>
    </w:p>
    <w:p w:rsidR="006A541A" w:rsidRDefault="006A541A" w:rsidP="006A541A">
      <w:pPr>
        <w:pStyle w:val="ListParagraph"/>
        <w:rPr>
          <w:rFonts w:ascii="Verdana" w:hAnsi="Verdana"/>
          <w:iCs/>
          <w:sz w:val="20"/>
          <w:szCs w:val="20"/>
        </w:rPr>
      </w:pPr>
      <w:bookmarkStart w:id="0" w:name="_GoBack"/>
      <w:bookmarkEnd w:id="0"/>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lastRenderedPageBreak/>
        <w:t xml:space="preserve">Both teachers shall be present for any scheduled parent/teacher meetings. </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 xml:space="preserve">Both teachers shall attend </w:t>
      </w:r>
      <w:r w:rsidR="000C61EE">
        <w:rPr>
          <w:rFonts w:ascii="Verdana" w:hAnsi="Verdana"/>
          <w:iCs/>
          <w:sz w:val="20"/>
          <w:szCs w:val="20"/>
        </w:rPr>
        <w:t xml:space="preserve">the first and last </w:t>
      </w:r>
      <w:r w:rsidRPr="0089753C">
        <w:rPr>
          <w:rFonts w:ascii="Verdana" w:hAnsi="Verdana"/>
          <w:iCs/>
          <w:sz w:val="20"/>
          <w:szCs w:val="20"/>
        </w:rPr>
        <w:t>staff meetings</w:t>
      </w:r>
      <w:r w:rsidR="000C61EE">
        <w:rPr>
          <w:rFonts w:ascii="Verdana" w:hAnsi="Verdana"/>
          <w:iCs/>
          <w:sz w:val="20"/>
          <w:szCs w:val="20"/>
        </w:rPr>
        <w:t xml:space="preserve"> of the academic year</w:t>
      </w:r>
      <w:r w:rsidRPr="0089753C">
        <w:rPr>
          <w:rFonts w:ascii="Verdana" w:hAnsi="Verdana"/>
          <w:iCs/>
          <w:sz w:val="20"/>
          <w:szCs w:val="20"/>
        </w:rPr>
        <w:t>.</w:t>
      </w:r>
      <w:r w:rsidR="000C61EE">
        <w:rPr>
          <w:rFonts w:ascii="Verdana" w:hAnsi="Verdana"/>
          <w:iCs/>
          <w:sz w:val="20"/>
          <w:szCs w:val="20"/>
        </w:rPr>
        <w:t xml:space="preserve"> The teacher on duty must provide the off-duty teacher with a full report of the contents of the staff meeting. From time to time it may be deemed necessary that both teachers shall attend staff meetings. The job sharing teachers will be notified in advance of the meeting as is practicable.</w:t>
      </w:r>
      <w:r w:rsidRPr="0089753C">
        <w:rPr>
          <w:rFonts w:ascii="Verdana" w:hAnsi="Verdana"/>
          <w:iCs/>
          <w:sz w:val="20"/>
          <w:szCs w:val="20"/>
        </w:rPr>
        <w:t xml:space="preserve">  </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Both teachers shall attend School Development Planning.</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 xml:space="preserve">Both </w:t>
      </w:r>
      <w:r w:rsidR="00B27532">
        <w:rPr>
          <w:rFonts w:ascii="Verdana" w:hAnsi="Verdana"/>
          <w:iCs/>
          <w:sz w:val="20"/>
          <w:szCs w:val="20"/>
        </w:rPr>
        <w:t>staff members</w:t>
      </w:r>
      <w:r w:rsidRPr="0089753C">
        <w:rPr>
          <w:rFonts w:ascii="Verdana" w:hAnsi="Verdana"/>
          <w:iCs/>
          <w:sz w:val="20"/>
          <w:szCs w:val="20"/>
        </w:rPr>
        <w:t xml:space="preserve"> shall attend in</w:t>
      </w:r>
      <w:r>
        <w:rPr>
          <w:rFonts w:ascii="Verdana" w:hAnsi="Verdana"/>
          <w:iCs/>
          <w:sz w:val="20"/>
          <w:szCs w:val="20"/>
        </w:rPr>
        <w:t>-</w:t>
      </w:r>
      <w:r w:rsidRPr="0089753C">
        <w:rPr>
          <w:rFonts w:ascii="Verdana" w:hAnsi="Verdana"/>
          <w:iCs/>
          <w:sz w:val="20"/>
          <w:szCs w:val="20"/>
        </w:rPr>
        <w:t>service training.</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 xml:space="preserve">End of year school reports shall be jointly filled out by both teachers for each child.  </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The Board of Management reserves the right to terminate a job-sharing arrangement, in the event that it is not operating in the best interests of pupils and school.</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Each job-sharing arrangement will be reviewed at the end of each school year.</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All applications are subject to a qualified replacement teacher being secured by June 30</w:t>
      </w:r>
      <w:r w:rsidRPr="0089753C">
        <w:rPr>
          <w:rFonts w:ascii="Verdana" w:hAnsi="Verdana"/>
          <w:iCs/>
          <w:sz w:val="20"/>
          <w:szCs w:val="20"/>
          <w:vertAlign w:val="superscript"/>
        </w:rPr>
        <w:t>th</w:t>
      </w:r>
      <w:r w:rsidRPr="0089753C">
        <w:rPr>
          <w:rFonts w:ascii="Verdana" w:hAnsi="Verdana"/>
          <w:iCs/>
          <w:sz w:val="20"/>
          <w:szCs w:val="20"/>
        </w:rPr>
        <w:t xml:space="preserve"> of the year of application. </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 xml:space="preserve">An application must be made to the Board of management, on the official application form before </w:t>
      </w:r>
      <w:r>
        <w:rPr>
          <w:rFonts w:ascii="Verdana" w:hAnsi="Verdana"/>
          <w:iCs/>
          <w:sz w:val="20"/>
          <w:szCs w:val="20"/>
        </w:rPr>
        <w:t>February</w:t>
      </w:r>
      <w:r w:rsidRPr="0089753C">
        <w:rPr>
          <w:rFonts w:ascii="Verdana" w:hAnsi="Verdana"/>
          <w:iCs/>
          <w:sz w:val="20"/>
          <w:szCs w:val="20"/>
        </w:rPr>
        <w:t xml:space="preserve"> 1</w:t>
      </w:r>
      <w:r w:rsidRPr="0089753C">
        <w:rPr>
          <w:rFonts w:ascii="Verdana" w:hAnsi="Verdana"/>
          <w:iCs/>
          <w:sz w:val="20"/>
          <w:szCs w:val="20"/>
          <w:vertAlign w:val="superscript"/>
        </w:rPr>
        <w:t>st</w:t>
      </w:r>
      <w:r w:rsidRPr="0089753C">
        <w:rPr>
          <w:rFonts w:ascii="Verdana" w:hAnsi="Verdana"/>
          <w:iCs/>
          <w:sz w:val="20"/>
          <w:szCs w:val="20"/>
        </w:rPr>
        <w:t xml:space="preserve"> of the year in which the teacher proposes to take the Leave. </w:t>
      </w:r>
      <w:r w:rsidRPr="0089753C">
        <w:rPr>
          <w:rFonts w:ascii="Verdana" w:hAnsi="Verdana"/>
          <w:b/>
          <w:bCs/>
          <w:iCs/>
          <w:sz w:val="20"/>
          <w:szCs w:val="20"/>
        </w:rPr>
        <w:t xml:space="preserve">(Circular 30/03) </w:t>
      </w:r>
      <w:r w:rsidRPr="0089753C">
        <w:rPr>
          <w:rFonts w:ascii="Verdana" w:hAnsi="Verdana"/>
          <w:iCs/>
          <w:sz w:val="20"/>
          <w:szCs w:val="20"/>
        </w:rPr>
        <w:t>Forms are available from the school or from Primary Payments section of the Department of Education and Science.</w:t>
      </w:r>
    </w:p>
    <w:p w:rsidR="006A541A" w:rsidRDefault="006A541A" w:rsidP="006A541A">
      <w:pPr>
        <w:pStyle w:val="ListParagraph"/>
        <w:rPr>
          <w:rFonts w:ascii="Verdana" w:hAnsi="Verdana"/>
          <w:iCs/>
          <w:sz w:val="20"/>
          <w:szCs w:val="20"/>
        </w:rPr>
      </w:pPr>
    </w:p>
    <w:p w:rsidR="006A541A" w:rsidRDefault="00B27532" w:rsidP="006A541A">
      <w:pPr>
        <w:numPr>
          <w:ilvl w:val="0"/>
          <w:numId w:val="3"/>
        </w:numPr>
        <w:jc w:val="both"/>
        <w:rPr>
          <w:rFonts w:ascii="Verdana" w:hAnsi="Verdana"/>
          <w:iCs/>
          <w:sz w:val="20"/>
          <w:szCs w:val="20"/>
        </w:rPr>
      </w:pPr>
      <w:r>
        <w:rPr>
          <w:rFonts w:ascii="Verdana" w:hAnsi="Verdana"/>
          <w:iCs/>
          <w:sz w:val="20"/>
          <w:szCs w:val="20"/>
        </w:rPr>
        <w:t>Staff members</w:t>
      </w:r>
      <w:r w:rsidR="006A541A" w:rsidRPr="0089753C">
        <w:rPr>
          <w:rFonts w:ascii="Verdana" w:hAnsi="Verdana"/>
          <w:iCs/>
          <w:sz w:val="20"/>
          <w:szCs w:val="20"/>
        </w:rPr>
        <w:t xml:space="preserve"> shall be notified in writing of the Board’s decision.</w:t>
      </w:r>
    </w:p>
    <w:p w:rsidR="006A541A" w:rsidRDefault="006A541A" w:rsidP="006A541A">
      <w:pPr>
        <w:pStyle w:val="ListParagraph"/>
        <w:rPr>
          <w:rFonts w:ascii="Verdana" w:hAnsi="Verdana"/>
          <w:iCs/>
          <w:sz w:val="20"/>
          <w:szCs w:val="20"/>
        </w:rPr>
      </w:pPr>
    </w:p>
    <w:p w:rsidR="006A541A" w:rsidRDefault="00B27532" w:rsidP="006A541A">
      <w:pPr>
        <w:numPr>
          <w:ilvl w:val="0"/>
          <w:numId w:val="3"/>
        </w:numPr>
        <w:jc w:val="both"/>
        <w:rPr>
          <w:rFonts w:ascii="Verdana" w:hAnsi="Verdana"/>
          <w:iCs/>
          <w:sz w:val="20"/>
          <w:szCs w:val="20"/>
        </w:rPr>
      </w:pPr>
      <w:r>
        <w:rPr>
          <w:rFonts w:ascii="Verdana" w:hAnsi="Verdana"/>
          <w:iCs/>
          <w:sz w:val="20"/>
          <w:szCs w:val="20"/>
        </w:rPr>
        <w:t>Staff members</w:t>
      </w:r>
      <w:r w:rsidR="006A541A" w:rsidRPr="0089753C">
        <w:rPr>
          <w:rFonts w:ascii="Verdana" w:hAnsi="Verdana"/>
          <w:iCs/>
          <w:sz w:val="20"/>
          <w:szCs w:val="20"/>
        </w:rPr>
        <w:t xml:space="preserve"> shall apply for job sharing positions on an individual basis.</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The principal will decide on the pairings and class for the following year.</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This will be agreed in advance with the principal and shall hold for the year.</w:t>
      </w:r>
    </w:p>
    <w:p w:rsidR="006A541A" w:rsidRDefault="006A541A" w:rsidP="006A541A">
      <w:pPr>
        <w:pStyle w:val="ListParagraph"/>
        <w:rPr>
          <w:rFonts w:ascii="Verdana" w:hAnsi="Verdana"/>
          <w:iCs/>
          <w:sz w:val="20"/>
          <w:szCs w:val="20"/>
        </w:rPr>
      </w:pPr>
    </w:p>
    <w:p w:rsidR="006A541A" w:rsidRDefault="006A541A" w:rsidP="006A541A">
      <w:pPr>
        <w:numPr>
          <w:ilvl w:val="0"/>
          <w:numId w:val="3"/>
        </w:numPr>
        <w:jc w:val="both"/>
        <w:rPr>
          <w:rFonts w:ascii="Verdana" w:hAnsi="Verdana"/>
          <w:iCs/>
          <w:sz w:val="20"/>
          <w:szCs w:val="20"/>
        </w:rPr>
      </w:pPr>
      <w:r w:rsidRPr="0089753C">
        <w:rPr>
          <w:rFonts w:ascii="Verdana" w:hAnsi="Verdana"/>
          <w:iCs/>
          <w:sz w:val="20"/>
          <w:szCs w:val="20"/>
        </w:rPr>
        <w:t>Post-holders who are job-sharing and who opt to retain the full post-holder’s allowance, shall attend all meetings relevant to that post-holder</w:t>
      </w:r>
      <w:r w:rsidR="00B27532">
        <w:rPr>
          <w:rFonts w:ascii="Verdana" w:hAnsi="Verdana"/>
          <w:iCs/>
          <w:sz w:val="20"/>
          <w:szCs w:val="20"/>
        </w:rPr>
        <w:t>’</w:t>
      </w:r>
      <w:r w:rsidRPr="0089753C">
        <w:rPr>
          <w:rFonts w:ascii="Verdana" w:hAnsi="Verdana"/>
          <w:iCs/>
          <w:sz w:val="20"/>
          <w:szCs w:val="20"/>
        </w:rPr>
        <w:t>s duties, including ISM and (if applicable) Senior Management Meetings.</w:t>
      </w:r>
    </w:p>
    <w:p w:rsidR="00B27532" w:rsidRDefault="00B27532" w:rsidP="00B27532">
      <w:pPr>
        <w:pStyle w:val="ListParagraph"/>
        <w:rPr>
          <w:rFonts w:ascii="Verdana" w:hAnsi="Verdana"/>
          <w:iCs/>
          <w:sz w:val="20"/>
          <w:szCs w:val="20"/>
        </w:rPr>
      </w:pPr>
    </w:p>
    <w:p w:rsidR="00B27532" w:rsidRDefault="00B27532" w:rsidP="006A541A">
      <w:pPr>
        <w:numPr>
          <w:ilvl w:val="0"/>
          <w:numId w:val="3"/>
        </w:numPr>
        <w:jc w:val="both"/>
        <w:rPr>
          <w:rFonts w:ascii="Verdana" w:hAnsi="Verdana"/>
          <w:iCs/>
          <w:sz w:val="20"/>
          <w:szCs w:val="20"/>
        </w:rPr>
      </w:pPr>
      <w:r>
        <w:rPr>
          <w:rFonts w:ascii="Verdana" w:hAnsi="Verdana"/>
          <w:iCs/>
          <w:sz w:val="20"/>
          <w:szCs w:val="20"/>
        </w:rPr>
        <w:t>In the event of over subscription to this scheme, priority shall be given to staff members who have not job shared previously.</w:t>
      </w:r>
    </w:p>
    <w:p w:rsidR="006A541A" w:rsidRDefault="006A541A" w:rsidP="006A541A">
      <w:pPr>
        <w:pStyle w:val="ListParagraph"/>
        <w:rPr>
          <w:rFonts w:ascii="Verdana" w:hAnsi="Verdana"/>
          <w:iCs/>
          <w:sz w:val="20"/>
          <w:szCs w:val="20"/>
        </w:rPr>
      </w:pPr>
    </w:p>
    <w:p w:rsidR="006A541A" w:rsidRPr="0089753C" w:rsidRDefault="006A541A" w:rsidP="006A541A">
      <w:pPr>
        <w:numPr>
          <w:ilvl w:val="0"/>
          <w:numId w:val="3"/>
        </w:numPr>
        <w:jc w:val="both"/>
        <w:rPr>
          <w:rFonts w:ascii="Verdana" w:hAnsi="Verdana"/>
          <w:iCs/>
          <w:sz w:val="20"/>
          <w:szCs w:val="20"/>
        </w:rPr>
      </w:pPr>
      <w:r w:rsidRPr="0089753C">
        <w:rPr>
          <w:rFonts w:ascii="Verdana" w:hAnsi="Verdana"/>
          <w:iCs/>
          <w:sz w:val="20"/>
          <w:szCs w:val="20"/>
        </w:rPr>
        <w:t>This policy is subject to annual review by B</w:t>
      </w:r>
      <w:r>
        <w:rPr>
          <w:rFonts w:ascii="Verdana" w:hAnsi="Verdana"/>
          <w:iCs/>
          <w:sz w:val="20"/>
          <w:szCs w:val="20"/>
        </w:rPr>
        <w:t>o</w:t>
      </w:r>
      <w:r w:rsidR="00B27532">
        <w:rPr>
          <w:rFonts w:ascii="Verdana" w:hAnsi="Verdana"/>
          <w:iCs/>
          <w:sz w:val="20"/>
          <w:szCs w:val="20"/>
        </w:rPr>
        <w:t>M.</w:t>
      </w:r>
    </w:p>
    <w:p w:rsidR="006A541A" w:rsidRPr="0089753C" w:rsidRDefault="006A541A" w:rsidP="006A541A">
      <w:pPr>
        <w:jc w:val="both"/>
        <w:rPr>
          <w:rFonts w:ascii="Verdana" w:hAnsi="Verdana"/>
          <w:iCs/>
          <w:sz w:val="20"/>
          <w:szCs w:val="20"/>
        </w:rPr>
      </w:pPr>
      <w:r w:rsidRPr="0089753C">
        <w:rPr>
          <w:rFonts w:ascii="Verdana" w:hAnsi="Verdana"/>
          <w:iCs/>
          <w:sz w:val="20"/>
          <w:szCs w:val="20"/>
        </w:rPr>
        <w:t> </w:t>
      </w:r>
    </w:p>
    <w:p w:rsidR="006A541A" w:rsidRPr="0089753C" w:rsidRDefault="006A541A" w:rsidP="006A541A">
      <w:pPr>
        <w:jc w:val="both"/>
        <w:rPr>
          <w:rFonts w:ascii="Verdana" w:hAnsi="Verdana"/>
          <w:iCs/>
          <w:sz w:val="20"/>
          <w:szCs w:val="20"/>
        </w:rPr>
      </w:pPr>
      <w:r w:rsidRPr="0089753C">
        <w:rPr>
          <w:rFonts w:ascii="Verdana" w:hAnsi="Verdana"/>
          <w:iCs/>
          <w:sz w:val="20"/>
          <w:szCs w:val="20"/>
        </w:rPr>
        <w:t> </w:t>
      </w:r>
    </w:p>
    <w:p w:rsidR="006A541A" w:rsidRPr="0089753C" w:rsidRDefault="006A541A" w:rsidP="006A541A">
      <w:pPr>
        <w:ind w:left="360"/>
        <w:jc w:val="both"/>
        <w:rPr>
          <w:rFonts w:ascii="Verdana" w:hAnsi="Verdana"/>
          <w:iCs/>
          <w:sz w:val="20"/>
          <w:szCs w:val="20"/>
        </w:rPr>
      </w:pPr>
      <w:r w:rsidRPr="0089753C">
        <w:rPr>
          <w:rFonts w:ascii="Verdana" w:hAnsi="Verdana"/>
          <w:iCs/>
          <w:sz w:val="20"/>
          <w:szCs w:val="20"/>
        </w:rPr>
        <w:t>For further details see the following:</w:t>
      </w:r>
    </w:p>
    <w:p w:rsidR="006A541A" w:rsidRPr="0089753C" w:rsidRDefault="006A541A" w:rsidP="006A541A">
      <w:pPr>
        <w:jc w:val="both"/>
        <w:rPr>
          <w:rFonts w:ascii="Verdana" w:hAnsi="Verdana"/>
          <w:iCs/>
          <w:sz w:val="20"/>
          <w:szCs w:val="20"/>
        </w:rPr>
      </w:pPr>
      <w:r w:rsidRPr="0089753C">
        <w:rPr>
          <w:rFonts w:ascii="Verdana" w:hAnsi="Verdana"/>
          <w:iCs/>
          <w:sz w:val="20"/>
          <w:szCs w:val="20"/>
        </w:rPr>
        <w:t> </w:t>
      </w:r>
    </w:p>
    <w:p w:rsidR="006A541A" w:rsidRPr="0089753C" w:rsidRDefault="006A541A" w:rsidP="006A541A">
      <w:pPr>
        <w:numPr>
          <w:ilvl w:val="0"/>
          <w:numId w:val="2"/>
        </w:numPr>
        <w:jc w:val="both"/>
        <w:rPr>
          <w:rFonts w:ascii="Verdana" w:hAnsi="Verdana"/>
          <w:iCs/>
          <w:sz w:val="20"/>
          <w:szCs w:val="20"/>
        </w:rPr>
      </w:pPr>
      <w:r w:rsidRPr="0089753C">
        <w:rPr>
          <w:rFonts w:ascii="Verdana" w:hAnsi="Verdana"/>
          <w:b/>
          <w:bCs/>
          <w:iCs/>
          <w:sz w:val="20"/>
          <w:szCs w:val="20"/>
        </w:rPr>
        <w:t xml:space="preserve">Management Board Members’ Handbook Revised </w:t>
      </w:r>
      <w:r>
        <w:rPr>
          <w:rFonts w:ascii="Verdana" w:hAnsi="Verdana"/>
          <w:b/>
          <w:bCs/>
          <w:iCs/>
          <w:sz w:val="20"/>
          <w:szCs w:val="20"/>
        </w:rPr>
        <w:t>2015</w:t>
      </w:r>
    </w:p>
    <w:p w:rsidR="006A541A" w:rsidRPr="0089753C" w:rsidRDefault="006A541A" w:rsidP="006A541A">
      <w:pPr>
        <w:ind w:firstLine="60"/>
        <w:jc w:val="both"/>
        <w:rPr>
          <w:rFonts w:ascii="Verdana" w:hAnsi="Verdana"/>
          <w:iCs/>
          <w:sz w:val="20"/>
          <w:szCs w:val="20"/>
        </w:rPr>
      </w:pPr>
    </w:p>
    <w:p w:rsidR="006A541A" w:rsidRPr="00C65276" w:rsidRDefault="006A541A" w:rsidP="006A541A">
      <w:pPr>
        <w:numPr>
          <w:ilvl w:val="0"/>
          <w:numId w:val="2"/>
        </w:numPr>
        <w:jc w:val="both"/>
        <w:rPr>
          <w:rFonts w:ascii="Verdana" w:hAnsi="Verdana"/>
          <w:iCs/>
          <w:sz w:val="20"/>
          <w:szCs w:val="20"/>
        </w:rPr>
      </w:pPr>
      <w:r w:rsidRPr="00C65276">
        <w:rPr>
          <w:rFonts w:ascii="Verdana" w:hAnsi="Verdana"/>
          <w:b/>
          <w:bCs/>
          <w:iCs/>
          <w:sz w:val="20"/>
          <w:szCs w:val="20"/>
        </w:rPr>
        <w:t xml:space="preserve">Department of Education and Science Circulars </w:t>
      </w:r>
      <w:r>
        <w:rPr>
          <w:rFonts w:ascii="Verdana" w:hAnsi="Verdana"/>
          <w:b/>
          <w:bCs/>
          <w:iCs/>
          <w:sz w:val="20"/>
          <w:szCs w:val="20"/>
        </w:rPr>
        <w:t>75/2015</w:t>
      </w:r>
    </w:p>
    <w:p w:rsidR="006A541A" w:rsidRPr="00C65276" w:rsidRDefault="006A541A" w:rsidP="006A541A">
      <w:pPr>
        <w:jc w:val="both"/>
        <w:rPr>
          <w:rFonts w:ascii="Verdana" w:hAnsi="Verdana"/>
          <w:iCs/>
          <w:sz w:val="20"/>
          <w:szCs w:val="20"/>
        </w:rPr>
      </w:pPr>
    </w:p>
    <w:p w:rsidR="006A541A" w:rsidRPr="0089753C" w:rsidRDefault="006A541A" w:rsidP="006A541A">
      <w:pPr>
        <w:numPr>
          <w:ilvl w:val="0"/>
          <w:numId w:val="2"/>
        </w:numPr>
        <w:jc w:val="both"/>
        <w:rPr>
          <w:rFonts w:ascii="Verdana" w:hAnsi="Verdana"/>
          <w:iCs/>
          <w:sz w:val="20"/>
          <w:szCs w:val="20"/>
        </w:rPr>
      </w:pPr>
      <w:r w:rsidRPr="0089753C">
        <w:rPr>
          <w:rFonts w:ascii="Verdana" w:hAnsi="Verdana"/>
          <w:b/>
          <w:bCs/>
          <w:iCs/>
          <w:sz w:val="20"/>
          <w:szCs w:val="20"/>
        </w:rPr>
        <w:t xml:space="preserve">INTO Members’ Handbook </w:t>
      </w:r>
    </w:p>
    <w:p w:rsidR="00246818" w:rsidRPr="00246818" w:rsidRDefault="00246818" w:rsidP="00246818">
      <w:pPr>
        <w:rPr>
          <w:rFonts w:asciiTheme="minorHAnsi" w:hAnsiTheme="minorHAnsi"/>
        </w:rPr>
      </w:pPr>
    </w:p>
    <w:sectPr w:rsidR="00246818" w:rsidRPr="00246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plendi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56D7"/>
    <w:multiLevelType w:val="hybridMultilevel"/>
    <w:tmpl w:val="A01AB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F240BA"/>
    <w:multiLevelType w:val="hybridMultilevel"/>
    <w:tmpl w:val="EC7A92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14123FB"/>
    <w:multiLevelType w:val="hybridMultilevel"/>
    <w:tmpl w:val="38CEA4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8B"/>
    <w:rsid w:val="000C61EE"/>
    <w:rsid w:val="001B7ED6"/>
    <w:rsid w:val="00246818"/>
    <w:rsid w:val="002B1A62"/>
    <w:rsid w:val="0036048B"/>
    <w:rsid w:val="004770A7"/>
    <w:rsid w:val="00586473"/>
    <w:rsid w:val="006A541A"/>
    <w:rsid w:val="007F50A3"/>
    <w:rsid w:val="00974735"/>
    <w:rsid w:val="00A2015C"/>
    <w:rsid w:val="00A464AF"/>
    <w:rsid w:val="00B0375D"/>
    <w:rsid w:val="00B27532"/>
    <w:rsid w:val="00B30AB0"/>
    <w:rsid w:val="00B91E9D"/>
    <w:rsid w:val="00E466A0"/>
    <w:rsid w:val="00E94F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949D668"/>
  <w15:chartTrackingRefBased/>
  <w15:docId w15:val="{779151D7-80D3-4E6D-A6A9-4E113FA8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AB0"/>
    <w:rPr>
      <w:rFonts w:ascii="Segoe UI" w:eastAsia="Times New Roman" w:hAnsi="Segoe UI" w:cs="Segoe UI"/>
      <w:sz w:val="18"/>
      <w:szCs w:val="18"/>
      <w:lang w:val="en-US"/>
    </w:rPr>
  </w:style>
  <w:style w:type="paragraph" w:styleId="ListParagraph">
    <w:name w:val="List Paragraph"/>
    <w:basedOn w:val="Normal"/>
    <w:uiPriority w:val="34"/>
    <w:qFormat/>
    <w:rsid w:val="002B1A62"/>
    <w:pPr>
      <w:ind w:left="720"/>
      <w:contextualSpacing/>
    </w:pPr>
  </w:style>
  <w:style w:type="paragraph" w:styleId="BodyText">
    <w:name w:val="Body Text"/>
    <w:basedOn w:val="Normal"/>
    <w:link w:val="BodyTextChar"/>
    <w:rsid w:val="006A541A"/>
    <w:pPr>
      <w:spacing w:before="100" w:beforeAutospacing="1" w:after="100" w:afterAutospacing="1"/>
    </w:pPr>
    <w:rPr>
      <w:lang w:val="en-GB" w:eastAsia="en-GB"/>
    </w:rPr>
  </w:style>
  <w:style w:type="character" w:customStyle="1" w:styleId="BodyTextChar">
    <w:name w:val="Body Text Char"/>
    <w:basedOn w:val="DefaultParagraphFont"/>
    <w:link w:val="BodyText"/>
    <w:rsid w:val="006A541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Leacy</dc:creator>
  <cp:keywords/>
  <dc:description/>
  <cp:lastModifiedBy>Joe Leacy</cp:lastModifiedBy>
  <cp:revision>9</cp:revision>
  <cp:lastPrinted>2019-02-04T12:02:00Z</cp:lastPrinted>
  <dcterms:created xsi:type="dcterms:W3CDTF">2016-02-04T12:30:00Z</dcterms:created>
  <dcterms:modified xsi:type="dcterms:W3CDTF">2023-01-06T12:55:00Z</dcterms:modified>
</cp:coreProperties>
</file>